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82" w:rsidRDefault="00B420A3" w:rsidP="00C979B4">
      <w:pPr>
        <w:pStyle w:val="Title"/>
        <w:rPr>
          <w:rFonts w:ascii="Verdana Ref" w:hAnsi="Verdana Ref" w:cs="Tunga"/>
          <w:sz w:val="28"/>
          <w:szCs w:val="28"/>
        </w:rPr>
      </w:pPr>
      <w:r>
        <w:rPr>
          <w:rFonts w:ascii="Verdana Ref" w:hAnsi="Verdana Ref" w:cs="Tunga"/>
          <w:noProof/>
          <w:sz w:val="28"/>
          <w:szCs w:val="28"/>
        </w:rPr>
        <w:drawing>
          <wp:inline distT="0" distB="0" distL="0" distR="0">
            <wp:extent cx="2813050" cy="584200"/>
            <wp:effectExtent l="0" t="0" r="6350" b="6350"/>
            <wp:docPr id="1" name="Picture 1" descr="BCS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584200"/>
                    </a:xfrm>
                    <a:prstGeom prst="rect">
                      <a:avLst/>
                    </a:prstGeom>
                    <a:noFill/>
                    <a:ln>
                      <a:noFill/>
                    </a:ln>
                  </pic:spPr>
                </pic:pic>
              </a:graphicData>
            </a:graphic>
          </wp:inline>
        </w:drawing>
      </w:r>
    </w:p>
    <w:p w:rsidR="00A53282" w:rsidRDefault="00A53282" w:rsidP="00C979B4">
      <w:pPr>
        <w:pStyle w:val="Title"/>
        <w:rPr>
          <w:rFonts w:ascii="Verdana Ref" w:hAnsi="Verdana Ref" w:cs="Tunga"/>
          <w:sz w:val="28"/>
          <w:szCs w:val="28"/>
        </w:rPr>
      </w:pPr>
      <w:r>
        <w:rPr>
          <w:rFonts w:ascii="Verdana Ref" w:hAnsi="Verdana Ref" w:cs="Tunga"/>
          <w:sz w:val="28"/>
          <w:szCs w:val="28"/>
        </w:rPr>
        <w:t>DEPARTMENT OF CRIMINOLOGY</w:t>
      </w:r>
    </w:p>
    <w:p w:rsidR="00A53282" w:rsidRDefault="00A53282" w:rsidP="00C979B4">
      <w:pPr>
        <w:pStyle w:val="Title"/>
        <w:rPr>
          <w:rFonts w:ascii="Verdana Ref" w:hAnsi="Verdana Ref" w:cs="Tunga"/>
          <w:sz w:val="28"/>
          <w:szCs w:val="28"/>
        </w:rPr>
      </w:pPr>
    </w:p>
    <w:p w:rsidR="00A53282" w:rsidRDefault="00A53282" w:rsidP="00C979B4">
      <w:pPr>
        <w:pStyle w:val="Title"/>
        <w:rPr>
          <w:rFonts w:ascii="Verdana Ref" w:hAnsi="Verdana Ref" w:cs="Tunga"/>
          <w:sz w:val="28"/>
          <w:szCs w:val="28"/>
        </w:rPr>
      </w:pPr>
    </w:p>
    <w:p w:rsidR="00A53282" w:rsidRDefault="00843938" w:rsidP="00C979B4">
      <w:pPr>
        <w:pStyle w:val="Title"/>
        <w:rPr>
          <w:rFonts w:ascii="Verdana Ref" w:hAnsi="Verdana Ref" w:cs="Tunga"/>
          <w:sz w:val="28"/>
          <w:szCs w:val="28"/>
        </w:rPr>
      </w:pPr>
      <w:r>
        <w:rPr>
          <w:rFonts w:ascii="Verdana Ref" w:hAnsi="Verdana Ref" w:cs="Tunga"/>
          <w:sz w:val="28"/>
          <w:szCs w:val="28"/>
        </w:rPr>
        <w:t>Topics: Green Criminology</w:t>
      </w:r>
    </w:p>
    <w:p w:rsidR="00A53282" w:rsidRPr="00F412CB" w:rsidRDefault="00843938" w:rsidP="00C979B4">
      <w:pPr>
        <w:pStyle w:val="Title"/>
        <w:rPr>
          <w:rFonts w:ascii="Verdana Ref" w:hAnsi="Verdana Ref" w:cs="Tunga"/>
          <w:sz w:val="28"/>
          <w:szCs w:val="28"/>
        </w:rPr>
      </w:pPr>
      <w:r>
        <w:rPr>
          <w:rFonts w:ascii="Verdana Ref" w:hAnsi="Verdana Ref" w:cs="Tunga"/>
          <w:sz w:val="28"/>
          <w:szCs w:val="28"/>
        </w:rPr>
        <w:t>FALL 2013</w:t>
      </w:r>
    </w:p>
    <w:p w:rsidR="00A53282" w:rsidRPr="00F412CB" w:rsidRDefault="00843938" w:rsidP="007F4B7B">
      <w:pPr>
        <w:pStyle w:val="Title"/>
        <w:rPr>
          <w:rFonts w:ascii="Verdana Ref" w:hAnsi="Verdana Ref" w:cs="Tunga"/>
          <w:sz w:val="28"/>
          <w:szCs w:val="28"/>
        </w:rPr>
      </w:pPr>
      <w:r>
        <w:rPr>
          <w:rFonts w:ascii="Verdana Ref" w:hAnsi="Verdana Ref" w:cs="Tunga"/>
          <w:sz w:val="28"/>
          <w:szCs w:val="28"/>
        </w:rPr>
        <w:t>CCJ 6935</w:t>
      </w:r>
    </w:p>
    <w:p w:rsidR="00A53282" w:rsidRPr="00F412CB" w:rsidRDefault="00A53282" w:rsidP="00C979B4">
      <w:pPr>
        <w:rPr>
          <w:rFonts w:ascii="Verdana Ref" w:hAnsi="Verdana Ref" w:cs="Tunga"/>
          <w:sz w:val="20"/>
          <w:szCs w:val="20"/>
        </w:rPr>
      </w:pPr>
    </w:p>
    <w:p w:rsidR="00A53282" w:rsidRPr="00F412CB" w:rsidRDefault="00A53282" w:rsidP="00C979B4">
      <w:pPr>
        <w:jc w:val="center"/>
        <w:rPr>
          <w:rFonts w:ascii="Verdana Ref" w:hAnsi="Verdana Ref" w:cs="Tunga"/>
          <w:sz w:val="20"/>
          <w:szCs w:val="20"/>
        </w:rPr>
      </w:pPr>
      <w:r>
        <w:rPr>
          <w:rFonts w:ascii="Verdana Ref" w:hAnsi="Verdana Ref" w:cs="Tunga"/>
          <w:sz w:val="20"/>
          <w:szCs w:val="20"/>
        </w:rPr>
        <w:t>SYLLABUS</w:t>
      </w:r>
    </w:p>
    <w:p w:rsidR="00A53282" w:rsidRPr="00F412CB" w:rsidRDefault="00A53282" w:rsidP="00C979B4">
      <w:pPr>
        <w:rPr>
          <w:rFonts w:ascii="Verdana Ref" w:hAnsi="Verdana Ref" w:cs="Tunga"/>
          <w:sz w:val="20"/>
          <w:szCs w:val="20"/>
        </w:rPr>
      </w:pPr>
    </w:p>
    <w:p w:rsidR="00A53282" w:rsidRDefault="00A53282" w:rsidP="00C979B4">
      <w:pPr>
        <w:rPr>
          <w:rFonts w:ascii="Verdana Ref" w:hAnsi="Verdana Ref" w:cs="Tunga"/>
          <w:sz w:val="20"/>
          <w:szCs w:val="20"/>
        </w:rPr>
      </w:pPr>
      <w:r w:rsidRPr="00F412CB">
        <w:rPr>
          <w:rFonts w:ascii="Verdana Ref" w:hAnsi="Verdana Ref" w:cs="Tunga"/>
          <w:b/>
          <w:bCs/>
          <w:sz w:val="20"/>
          <w:szCs w:val="20"/>
        </w:rPr>
        <w:t>Meeting Time</w:t>
      </w:r>
      <w:r w:rsidRPr="00F412CB">
        <w:rPr>
          <w:rFonts w:ascii="Verdana Ref" w:hAnsi="Verdana Ref" w:cs="Tunga"/>
          <w:sz w:val="20"/>
          <w:szCs w:val="20"/>
        </w:rPr>
        <w:t xml:space="preserve">: </w:t>
      </w:r>
      <w:r w:rsidR="00843938">
        <w:rPr>
          <w:rFonts w:ascii="Verdana Ref" w:hAnsi="Verdana Ref" w:cs="Tunga"/>
          <w:sz w:val="20"/>
          <w:szCs w:val="20"/>
        </w:rPr>
        <w:tab/>
        <w:t>Monday 6:00-8:50</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Room</w:t>
      </w:r>
      <w:r w:rsidRPr="00F412CB">
        <w:rPr>
          <w:rFonts w:ascii="Verdana Ref" w:hAnsi="Verdana Ref" w:cs="Tunga"/>
          <w:sz w:val="20"/>
          <w:szCs w:val="20"/>
        </w:rPr>
        <w:t xml:space="preserve">: </w:t>
      </w:r>
      <w:r w:rsidRPr="00F412CB">
        <w:rPr>
          <w:rFonts w:ascii="Verdana Ref" w:hAnsi="Verdana Ref" w:cs="Tunga"/>
          <w:sz w:val="20"/>
          <w:szCs w:val="20"/>
        </w:rPr>
        <w:tab/>
      </w:r>
      <w:r w:rsidR="00843938">
        <w:rPr>
          <w:rFonts w:ascii="Verdana Ref" w:hAnsi="Verdana Ref" w:cs="Tunga"/>
          <w:sz w:val="20"/>
          <w:szCs w:val="20"/>
        </w:rPr>
        <w:tab/>
      </w:r>
      <w:r w:rsidR="00843938">
        <w:rPr>
          <w:rFonts w:ascii="Verdana Ref" w:hAnsi="Verdana Ref" w:cs="Tunga"/>
          <w:sz w:val="20"/>
          <w:szCs w:val="20"/>
        </w:rPr>
        <w:tab/>
        <w:t>SOC 351</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Instructor</w:t>
      </w:r>
      <w:r w:rsidRPr="00F412CB">
        <w:rPr>
          <w:rFonts w:ascii="Verdana Ref" w:hAnsi="Verdana Ref" w:cs="Tunga"/>
          <w:sz w:val="20"/>
          <w:szCs w:val="20"/>
        </w:rPr>
        <w:t>:</w:t>
      </w:r>
      <w:r w:rsidRPr="00F412CB">
        <w:rPr>
          <w:rFonts w:ascii="Verdana Ref" w:hAnsi="Verdana Ref" w:cs="Tunga"/>
          <w:sz w:val="20"/>
          <w:szCs w:val="20"/>
        </w:rPr>
        <w:tab/>
      </w:r>
      <w:r w:rsidRPr="00F412CB">
        <w:rPr>
          <w:rFonts w:ascii="Verdana Ref" w:hAnsi="Verdana Ref" w:cs="Tunga"/>
          <w:sz w:val="20"/>
          <w:szCs w:val="20"/>
        </w:rPr>
        <w:tab/>
      </w:r>
      <w:r>
        <w:rPr>
          <w:rFonts w:ascii="Verdana Ref" w:hAnsi="Verdana Ref" w:cs="Tunga"/>
          <w:sz w:val="20"/>
          <w:szCs w:val="20"/>
        </w:rPr>
        <w:t>Michael J. Lynch</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Office Location</w:t>
      </w:r>
      <w:r w:rsidRPr="00F412CB">
        <w:rPr>
          <w:rFonts w:ascii="Verdana Ref" w:hAnsi="Verdana Ref" w:cs="Tunga"/>
          <w:sz w:val="20"/>
          <w:szCs w:val="20"/>
        </w:rPr>
        <w:t xml:space="preserve">: </w:t>
      </w:r>
      <w:r w:rsidRPr="00F412CB">
        <w:rPr>
          <w:rFonts w:ascii="Verdana Ref" w:hAnsi="Verdana Ref" w:cs="Tunga"/>
          <w:sz w:val="20"/>
          <w:szCs w:val="20"/>
        </w:rPr>
        <w:tab/>
        <w:t xml:space="preserve"> </w:t>
      </w:r>
      <w:r>
        <w:rPr>
          <w:rFonts w:ascii="Verdana Ref" w:hAnsi="Verdana Ref" w:cs="Tunga"/>
          <w:sz w:val="20"/>
          <w:szCs w:val="20"/>
        </w:rPr>
        <w:t>SOC 315</w:t>
      </w:r>
    </w:p>
    <w:p w:rsidR="00A53282" w:rsidRPr="00F412CB" w:rsidRDefault="00A53282" w:rsidP="00C979B4">
      <w:pPr>
        <w:rPr>
          <w:rFonts w:ascii="Verdana Ref" w:hAnsi="Verdana Ref" w:cs="Tunga"/>
          <w:sz w:val="20"/>
          <w:szCs w:val="20"/>
        </w:rPr>
      </w:pPr>
      <w:r w:rsidRPr="00F412CB">
        <w:rPr>
          <w:rFonts w:ascii="Verdana Ref" w:hAnsi="Verdana Ref" w:cs="Tunga"/>
          <w:b/>
          <w:bCs/>
          <w:sz w:val="20"/>
          <w:szCs w:val="20"/>
        </w:rPr>
        <w:t>Office Hours</w:t>
      </w:r>
      <w:r w:rsidRPr="00F412CB">
        <w:rPr>
          <w:rFonts w:ascii="Verdana Ref" w:hAnsi="Verdana Ref" w:cs="Tunga"/>
          <w:sz w:val="20"/>
          <w:szCs w:val="20"/>
        </w:rPr>
        <w:t xml:space="preserve">: </w:t>
      </w:r>
      <w:r w:rsidRPr="00F412CB">
        <w:rPr>
          <w:rFonts w:ascii="Verdana Ref" w:hAnsi="Verdana Ref" w:cs="Tunga"/>
          <w:sz w:val="20"/>
          <w:szCs w:val="20"/>
        </w:rPr>
        <w:tab/>
      </w:r>
    </w:p>
    <w:p w:rsidR="00A53282" w:rsidRPr="00F412CB" w:rsidRDefault="00A53282" w:rsidP="00C979B4">
      <w:pPr>
        <w:rPr>
          <w:rFonts w:ascii="Verdana Ref" w:hAnsi="Verdana Ref" w:cs="Tunga"/>
          <w:sz w:val="20"/>
          <w:szCs w:val="20"/>
          <w:lang w:val="fr-FR"/>
        </w:rPr>
      </w:pPr>
      <w:r w:rsidRPr="00F412CB">
        <w:rPr>
          <w:rFonts w:ascii="Verdana Ref" w:hAnsi="Verdana Ref" w:cs="Tunga"/>
          <w:b/>
          <w:bCs/>
          <w:sz w:val="20"/>
          <w:szCs w:val="20"/>
          <w:lang w:val="fr-FR"/>
        </w:rPr>
        <w:t>Phone</w:t>
      </w:r>
      <w:r w:rsidRPr="00F412CB">
        <w:rPr>
          <w:rFonts w:ascii="Verdana Ref" w:hAnsi="Verdana Ref" w:cs="Tunga"/>
          <w:sz w:val="20"/>
          <w:szCs w:val="20"/>
          <w:lang w:val="fr-FR"/>
        </w:rPr>
        <w:t xml:space="preserve">: </w:t>
      </w:r>
      <w:r w:rsidRPr="00F412CB">
        <w:rPr>
          <w:rFonts w:ascii="Verdana Ref" w:hAnsi="Verdana Ref" w:cs="Tunga"/>
          <w:sz w:val="20"/>
          <w:szCs w:val="20"/>
          <w:lang w:val="fr-FR"/>
        </w:rPr>
        <w:tab/>
      </w:r>
      <w:r>
        <w:rPr>
          <w:rFonts w:ascii="Verdana Ref" w:hAnsi="Verdana Ref" w:cs="Tunga"/>
          <w:sz w:val="20"/>
          <w:szCs w:val="20"/>
          <w:lang w:val="fr-FR"/>
        </w:rPr>
        <w:tab/>
        <w:t>974-8148</w:t>
      </w:r>
    </w:p>
    <w:p w:rsidR="00A53282" w:rsidRDefault="00A53282" w:rsidP="00C979B4">
      <w:pPr>
        <w:rPr>
          <w:rFonts w:ascii="Verdana Ref" w:hAnsi="Verdana Ref" w:cs="Tunga"/>
          <w:sz w:val="20"/>
          <w:szCs w:val="20"/>
          <w:lang w:val="fr-FR"/>
        </w:rPr>
      </w:pPr>
      <w:r w:rsidRPr="00F412CB">
        <w:rPr>
          <w:rFonts w:ascii="Verdana Ref" w:hAnsi="Verdana Ref" w:cs="Tunga"/>
          <w:b/>
          <w:bCs/>
          <w:sz w:val="20"/>
          <w:szCs w:val="20"/>
          <w:lang w:val="fr-FR"/>
        </w:rPr>
        <w:t>E-mail</w:t>
      </w:r>
      <w:r w:rsidRPr="00F412CB">
        <w:rPr>
          <w:rFonts w:ascii="Verdana Ref" w:hAnsi="Verdana Ref" w:cs="Tunga"/>
          <w:sz w:val="20"/>
          <w:szCs w:val="20"/>
          <w:lang w:val="fr-FR"/>
        </w:rPr>
        <w:t xml:space="preserve">: </w:t>
      </w:r>
      <w:r>
        <w:rPr>
          <w:rFonts w:ascii="Verdana Ref" w:hAnsi="Verdana Ref" w:cs="Tunga"/>
          <w:sz w:val="20"/>
          <w:szCs w:val="20"/>
          <w:lang w:val="fr-FR"/>
        </w:rPr>
        <w:tab/>
      </w:r>
      <w:r>
        <w:rPr>
          <w:rFonts w:ascii="Verdana Ref" w:hAnsi="Verdana Ref" w:cs="Tunga"/>
          <w:sz w:val="20"/>
          <w:szCs w:val="20"/>
          <w:lang w:val="fr-FR"/>
        </w:rPr>
        <w:tab/>
        <w:t>mjlynch@usf.edu</w:t>
      </w:r>
    </w:p>
    <w:p w:rsidR="00A53282" w:rsidRPr="00F412CB" w:rsidRDefault="00A53282" w:rsidP="00C979B4">
      <w:pPr>
        <w:rPr>
          <w:rFonts w:ascii="Verdana Ref" w:hAnsi="Verdana Ref" w:cs="Tunga"/>
          <w:sz w:val="20"/>
          <w:szCs w:val="20"/>
          <w:lang w:val="fr-FR"/>
        </w:rPr>
      </w:pPr>
      <w:r w:rsidRPr="00F412CB">
        <w:rPr>
          <w:rFonts w:ascii="Verdana Ref" w:hAnsi="Verdana Ref" w:cs="Tunga"/>
          <w:sz w:val="20"/>
          <w:szCs w:val="20"/>
          <w:lang w:val="fr-FR"/>
        </w:rPr>
        <w:tab/>
      </w:r>
      <w:r w:rsidRPr="00F412CB">
        <w:rPr>
          <w:rFonts w:ascii="Verdana Ref" w:hAnsi="Verdana Ref" w:cs="Tunga"/>
          <w:sz w:val="20"/>
          <w:szCs w:val="20"/>
          <w:lang w:val="fr-FR"/>
        </w:rPr>
        <w:tab/>
      </w:r>
    </w:p>
    <w:p w:rsidR="00A53282" w:rsidRPr="004306E2" w:rsidRDefault="00A53282" w:rsidP="007F4B7B">
      <w:pPr>
        <w:autoSpaceDE w:val="0"/>
        <w:autoSpaceDN w:val="0"/>
        <w:adjustRightInd w:val="0"/>
        <w:rPr>
          <w:i/>
        </w:rPr>
      </w:pPr>
      <w:r w:rsidRPr="004306E2">
        <w:rPr>
          <w:i/>
          <w:sz w:val="23"/>
          <w:szCs w:val="23"/>
        </w:rPr>
        <w:t xml:space="preserve">In the event of an emergency, it may be necessary for USF to suspend normal operations. During this time, USF may opt to continue delivery of instruction through methods that include but are not limited to: Blackboard, </w:t>
      </w:r>
      <w:proofErr w:type="spellStart"/>
      <w:r w:rsidRPr="004306E2">
        <w:rPr>
          <w:i/>
          <w:sz w:val="23"/>
          <w:szCs w:val="23"/>
        </w:rPr>
        <w:t>Elluminate</w:t>
      </w:r>
      <w:proofErr w:type="spellEnd"/>
      <w:r w:rsidRPr="004306E2">
        <w:rPr>
          <w:i/>
          <w:sz w:val="23"/>
          <w:szCs w:val="23"/>
        </w:rPr>
        <w:t xml:space="preserve">, Skype, and email messaging and/or an alternate schedule. It’s the responsibility of the student to monitor Blackboard site for each class for course specific communication, and the main USF, College, and department websites, emails, and </w:t>
      </w:r>
      <w:proofErr w:type="spellStart"/>
      <w:r w:rsidRPr="004306E2">
        <w:rPr>
          <w:i/>
          <w:sz w:val="23"/>
          <w:szCs w:val="23"/>
        </w:rPr>
        <w:t>MoBull</w:t>
      </w:r>
      <w:proofErr w:type="spellEnd"/>
      <w:r w:rsidRPr="004306E2">
        <w:rPr>
          <w:i/>
          <w:sz w:val="23"/>
          <w:szCs w:val="23"/>
        </w:rPr>
        <w:t xml:space="preserve"> messages for important general information.</w:t>
      </w:r>
      <w:r w:rsidRPr="004306E2">
        <w:rPr>
          <w:i/>
        </w:rPr>
        <w:t xml:space="preserve"> </w:t>
      </w:r>
    </w:p>
    <w:p w:rsidR="00A53282" w:rsidRDefault="00A53282" w:rsidP="00C979B4">
      <w:pPr>
        <w:rPr>
          <w:rFonts w:ascii="Verdana Ref" w:hAnsi="Verdana Ref" w:cs="Tunga"/>
          <w:sz w:val="20"/>
          <w:szCs w:val="20"/>
        </w:rPr>
      </w:pPr>
    </w:p>
    <w:p w:rsidR="00A53282" w:rsidRPr="00F412CB" w:rsidRDefault="00A53282" w:rsidP="007F4B7B">
      <w:pPr>
        <w:widowControl w:val="0"/>
        <w:rPr>
          <w:rFonts w:ascii="Verdana Ref" w:hAnsi="Verdana Ref" w:cs="Tunga"/>
          <w:sz w:val="20"/>
          <w:szCs w:val="20"/>
        </w:rPr>
      </w:pPr>
      <w:r w:rsidRPr="00F412CB">
        <w:rPr>
          <w:rFonts w:ascii="Verdana Ref" w:hAnsi="Verdana Ref" w:cs="Tunga"/>
          <w:b/>
          <w:sz w:val="20"/>
          <w:szCs w:val="20"/>
          <w:u w:val="single"/>
        </w:rPr>
        <w:t>Course Description and objectives:</w:t>
      </w:r>
    </w:p>
    <w:p w:rsidR="00A53282" w:rsidRDefault="00A53282" w:rsidP="007F4B7B">
      <w:pPr>
        <w:widowControl w:val="0"/>
        <w:rPr>
          <w:rFonts w:ascii="Verdana Ref" w:hAnsi="Verdana Ref" w:cs="Tunga"/>
          <w:sz w:val="20"/>
          <w:szCs w:val="20"/>
        </w:rPr>
      </w:pPr>
    </w:p>
    <w:p w:rsidR="00843938" w:rsidRDefault="00843938" w:rsidP="00843938">
      <w:r>
        <w:t xml:space="preserve">The first work on green criminology was published in 1990 (Lynch, 1990) – or 23 years ago.  Follow up work on that topic was presented in Frank and Lynch (1992) book, </w:t>
      </w:r>
      <w:r>
        <w:rPr>
          <w:i/>
        </w:rPr>
        <w:t>Corporate Crime, Corporate Violence</w:t>
      </w:r>
      <w:r>
        <w:t xml:space="preserve">.  But it was no until 1998 with the publication of a special issue on Green Criminology by Piers </w:t>
      </w:r>
      <w:proofErr w:type="spellStart"/>
      <w:r>
        <w:t>Beirne</w:t>
      </w:r>
      <w:proofErr w:type="spellEnd"/>
      <w:r>
        <w:t xml:space="preserve"> and Nigel South that interest in Green Criminology began to spread more widely.   Thus, in broader terms, green criminology has only been more widely recognized for the past 15 years.  </w:t>
      </w:r>
    </w:p>
    <w:p w:rsidR="00843938" w:rsidRDefault="00843938" w:rsidP="00843938"/>
    <w:p w:rsidR="00843938" w:rsidRDefault="00843938" w:rsidP="00843938">
      <w:r>
        <w:t xml:space="preserve">In 2009, green criminologists from around the world formed the International Green Criminology Working Group (IGCWG), to bring together green criminologists from around the world, and make it easier for them to share research and ideas with one another.  In 2012, I organized the construction of the IGCWG website (greencriminology.org) which provides research links, member information, a Monthly Publication, and meeting and other information for green criminologists and others to employ. There are currently 44 active members, but hundreds of subscribers to the website. </w:t>
      </w:r>
    </w:p>
    <w:p w:rsidR="00843938" w:rsidRDefault="00843938" w:rsidP="00843938"/>
    <w:p w:rsidR="00843938" w:rsidRDefault="00843938" w:rsidP="00843938">
      <w:r>
        <w:t xml:space="preserve">Green criminology is a relatively recent area of specialization within criminology.  This course will examine some of the issues green criminologists examine, the importance of those issues, why they are worthwhile studying from a criminological perspective, and how </w:t>
      </w:r>
      <w:r>
        <w:lastRenderedPageBreak/>
        <w:t>they are studied.  Some of the material we will read will not be written by criminologists – that is because some of the issues relevant to green criminology have a basis in other disciplines, and those works are worth reading to support the kind of work green criminologists do.</w:t>
      </w:r>
    </w:p>
    <w:p w:rsidR="00843938" w:rsidRDefault="00843938" w:rsidP="007F4B7B">
      <w:pPr>
        <w:widowControl w:val="0"/>
        <w:rPr>
          <w:rFonts w:ascii="Verdana Ref" w:hAnsi="Verdana Ref" w:cs="Tunga"/>
          <w:sz w:val="20"/>
          <w:szCs w:val="20"/>
        </w:rPr>
      </w:pPr>
    </w:p>
    <w:p w:rsidR="00A53282" w:rsidRDefault="00A53282" w:rsidP="00C979B4">
      <w:pPr>
        <w:rPr>
          <w:rFonts w:ascii="Verdana Ref" w:hAnsi="Verdana Ref" w:cs="Tunga"/>
          <w:b/>
          <w:sz w:val="20"/>
          <w:szCs w:val="20"/>
          <w:u w:val="single"/>
        </w:rPr>
      </w:pPr>
      <w:r>
        <w:rPr>
          <w:rFonts w:ascii="Verdana Ref" w:hAnsi="Verdana Ref" w:cs="Tunga"/>
          <w:b/>
          <w:sz w:val="20"/>
          <w:szCs w:val="20"/>
          <w:u w:val="single"/>
        </w:rPr>
        <w:t>Student Learning Outcomes:</w:t>
      </w:r>
    </w:p>
    <w:p w:rsidR="00A53282" w:rsidRDefault="00A53282" w:rsidP="00C979B4">
      <w:pPr>
        <w:rPr>
          <w:rFonts w:ascii="Verdana Ref" w:hAnsi="Verdana Ref" w:cs="Tunga"/>
          <w:sz w:val="20"/>
          <w:szCs w:val="20"/>
        </w:rPr>
      </w:pPr>
    </w:p>
    <w:p w:rsidR="00843938" w:rsidRDefault="00A53282" w:rsidP="00C979B4">
      <w:pPr>
        <w:rPr>
          <w:rFonts w:ascii="Verdana Ref" w:hAnsi="Verdana Ref" w:cs="Tunga"/>
          <w:sz w:val="20"/>
          <w:szCs w:val="20"/>
        </w:rPr>
      </w:pPr>
      <w:r>
        <w:rPr>
          <w:rFonts w:ascii="Verdana Ref" w:hAnsi="Verdana Ref" w:cs="Tunga"/>
          <w:sz w:val="20"/>
          <w:szCs w:val="20"/>
        </w:rPr>
        <w:t>At the end of this course, students will be able to</w:t>
      </w:r>
      <w:r w:rsidR="00843938">
        <w:rPr>
          <w:rFonts w:ascii="Verdana Ref" w:hAnsi="Verdana Ref" w:cs="Tunga"/>
          <w:sz w:val="20"/>
          <w:szCs w:val="20"/>
        </w:rPr>
        <w:t>: define green criminology; identify major works in green criminology; understand the general and specific core areas of research in green criminology; identify core ideas and theories in green criminology; relate green criminology to relevant literature in other disciplines; discuss the need for green criminology; identify how green criminology differs from orthodox criminology.</w:t>
      </w:r>
    </w:p>
    <w:p w:rsidR="00843938" w:rsidRDefault="00843938" w:rsidP="00C979B4">
      <w:pPr>
        <w:rPr>
          <w:rFonts w:ascii="Verdana Ref" w:hAnsi="Verdana Ref" w:cs="Tunga"/>
          <w:sz w:val="20"/>
          <w:szCs w:val="20"/>
        </w:rPr>
      </w:pPr>
    </w:p>
    <w:p w:rsidR="00A53282" w:rsidRDefault="00A53282" w:rsidP="00C979B4">
      <w:pPr>
        <w:rPr>
          <w:rFonts w:ascii="Verdana Ref" w:hAnsi="Verdana Ref" w:cs="Tunga"/>
          <w:sz w:val="20"/>
          <w:szCs w:val="20"/>
        </w:rPr>
      </w:pPr>
      <w:r>
        <w:rPr>
          <w:rFonts w:ascii="Verdana Ref" w:hAnsi="Verdana Ref" w:cs="Tunga"/>
          <w:sz w:val="20"/>
          <w:szCs w:val="20"/>
        </w:rPr>
        <w:t xml:space="preserve"> </w:t>
      </w:r>
    </w:p>
    <w:p w:rsidR="00A53282" w:rsidRDefault="00A53282" w:rsidP="00C979B4">
      <w:pPr>
        <w:pBdr>
          <w:bottom w:val="single" w:sz="6" w:space="1" w:color="auto"/>
        </w:pBdr>
        <w:rPr>
          <w:rFonts w:ascii="Verdana Ref" w:hAnsi="Verdana Ref" w:cs="Tunga"/>
          <w:sz w:val="20"/>
          <w:szCs w:val="20"/>
        </w:rPr>
      </w:pPr>
    </w:p>
    <w:p w:rsidR="00A53282" w:rsidRPr="00F412CB" w:rsidRDefault="00A53282" w:rsidP="00C979B4">
      <w:pPr>
        <w:rPr>
          <w:rFonts w:ascii="Verdana Ref" w:hAnsi="Verdana Ref" w:cs="Tunga"/>
          <w:sz w:val="20"/>
          <w:szCs w:val="20"/>
        </w:rPr>
      </w:pPr>
    </w:p>
    <w:p w:rsidR="00A53282" w:rsidRDefault="00A53282" w:rsidP="00C979B4">
      <w:pPr>
        <w:rPr>
          <w:rFonts w:ascii="Verdana Ref" w:hAnsi="Verdana Ref" w:cs="Tunga"/>
          <w:sz w:val="20"/>
          <w:szCs w:val="20"/>
        </w:rPr>
      </w:pPr>
      <w:r w:rsidRPr="007F4B7B">
        <w:rPr>
          <w:rFonts w:ascii="Verdana Ref" w:hAnsi="Verdana Ref" w:cs="Tunga"/>
          <w:b/>
          <w:bCs/>
          <w:sz w:val="20"/>
          <w:szCs w:val="20"/>
          <w:u w:val="single"/>
        </w:rPr>
        <w:t>Required Texts</w:t>
      </w:r>
      <w:r w:rsidRPr="00F412CB">
        <w:rPr>
          <w:rFonts w:ascii="Verdana Ref" w:hAnsi="Verdana Ref" w:cs="Tunga"/>
          <w:sz w:val="20"/>
          <w:szCs w:val="20"/>
        </w:rPr>
        <w:t xml:space="preserve">:  </w:t>
      </w:r>
    </w:p>
    <w:p w:rsidR="00A53282" w:rsidRDefault="00A53282" w:rsidP="00C979B4">
      <w:pPr>
        <w:rPr>
          <w:rFonts w:ascii="Verdana Ref" w:hAnsi="Verdana Ref" w:cs="Tunga"/>
          <w:sz w:val="20"/>
          <w:szCs w:val="20"/>
        </w:rPr>
      </w:pPr>
    </w:p>
    <w:p w:rsidR="000D7D74" w:rsidRDefault="000D7D74" w:rsidP="000D7D74">
      <w:pPr>
        <w:rPr>
          <w:rFonts w:asciiTheme="minorHAnsi" w:hAnsiTheme="minorHAnsi"/>
        </w:rPr>
      </w:pPr>
      <w:proofErr w:type="spellStart"/>
      <w:r w:rsidRPr="000346A1">
        <w:rPr>
          <w:rFonts w:asciiTheme="minorHAnsi" w:hAnsiTheme="minorHAnsi"/>
        </w:rPr>
        <w:t>Kovel</w:t>
      </w:r>
      <w:proofErr w:type="spellEnd"/>
      <w:r w:rsidRPr="000346A1">
        <w:rPr>
          <w:rFonts w:asciiTheme="minorHAnsi" w:hAnsiTheme="minorHAnsi"/>
        </w:rPr>
        <w:t>, Joel. (2007)</w:t>
      </w:r>
      <w:proofErr w:type="gramStart"/>
      <w:r w:rsidRPr="000346A1">
        <w:rPr>
          <w:rFonts w:asciiTheme="minorHAnsi" w:hAnsiTheme="minorHAnsi"/>
        </w:rPr>
        <w:t xml:space="preserve">.  </w:t>
      </w:r>
      <w:r w:rsidRPr="000346A1">
        <w:rPr>
          <w:rFonts w:asciiTheme="minorHAnsi" w:hAnsiTheme="minorHAnsi"/>
          <w:i/>
        </w:rPr>
        <w:t>The</w:t>
      </w:r>
      <w:proofErr w:type="gramEnd"/>
      <w:r w:rsidRPr="000346A1">
        <w:rPr>
          <w:rFonts w:asciiTheme="minorHAnsi" w:hAnsiTheme="minorHAnsi"/>
          <w:i/>
        </w:rPr>
        <w:t xml:space="preserve"> Enemy of Nature: The End of Capitalism or the End of the World?</w:t>
      </w:r>
      <w:r>
        <w:t xml:space="preserve"> NY: </w:t>
      </w:r>
      <w:r w:rsidRPr="000346A1">
        <w:rPr>
          <w:rFonts w:asciiTheme="minorHAnsi" w:hAnsiTheme="minorHAnsi"/>
        </w:rPr>
        <w:t>Zed Books.</w:t>
      </w:r>
    </w:p>
    <w:p w:rsidR="000D7D74" w:rsidRDefault="000D7D74" w:rsidP="000D7D74">
      <w:pPr>
        <w:rPr>
          <w:rFonts w:asciiTheme="minorHAnsi" w:hAnsiTheme="minorHAnsi"/>
        </w:rPr>
      </w:pPr>
    </w:p>
    <w:p w:rsidR="000D7D74" w:rsidRPr="000346A1" w:rsidRDefault="000D7D74" w:rsidP="000D7D74">
      <w:pPr>
        <w:rPr>
          <w:rFonts w:asciiTheme="minorHAnsi" w:hAnsiTheme="minorHAnsi"/>
        </w:rPr>
      </w:pPr>
      <w:r w:rsidRPr="000346A1">
        <w:rPr>
          <w:rFonts w:asciiTheme="minorHAnsi" w:hAnsiTheme="minorHAnsi"/>
        </w:rPr>
        <w:t>Reece, Erik. (2006)</w:t>
      </w:r>
      <w:proofErr w:type="gramStart"/>
      <w:r w:rsidRPr="000346A1">
        <w:rPr>
          <w:rFonts w:asciiTheme="minorHAnsi" w:hAnsiTheme="minorHAnsi"/>
        </w:rPr>
        <w:t xml:space="preserve">.  </w:t>
      </w:r>
      <w:r w:rsidRPr="000346A1">
        <w:rPr>
          <w:rFonts w:asciiTheme="minorHAnsi" w:hAnsiTheme="minorHAnsi"/>
          <w:i/>
        </w:rPr>
        <w:t>Lost</w:t>
      </w:r>
      <w:proofErr w:type="gramEnd"/>
      <w:r w:rsidRPr="000346A1">
        <w:rPr>
          <w:rFonts w:asciiTheme="minorHAnsi" w:hAnsiTheme="minorHAnsi"/>
          <w:i/>
        </w:rPr>
        <w:t xml:space="preserve"> Mountain: A Year in the Vanishing Wilderness</w:t>
      </w:r>
      <w:r w:rsidRPr="000346A1">
        <w:rPr>
          <w:rFonts w:asciiTheme="minorHAnsi" w:hAnsiTheme="minorHAnsi"/>
        </w:rPr>
        <w:t xml:space="preserve">.  Riverhead, NY: </w:t>
      </w:r>
      <w:r w:rsidRPr="000346A1">
        <w:rPr>
          <w:rFonts w:asciiTheme="minorHAnsi" w:hAnsiTheme="minorHAnsi"/>
        </w:rPr>
        <w:tab/>
        <w:t>Riverhead Books.</w:t>
      </w:r>
    </w:p>
    <w:p w:rsidR="00A53282" w:rsidRDefault="00A53282" w:rsidP="00D7041A">
      <w:pPr>
        <w:rPr>
          <w:rFonts w:ascii="Arial" w:hAnsi="Arial" w:cs="Arial"/>
        </w:rPr>
      </w:pPr>
    </w:p>
    <w:p w:rsidR="000D7D74" w:rsidRDefault="000D7D74" w:rsidP="00D7041A">
      <w:pPr>
        <w:pBdr>
          <w:top w:val="single" w:sz="6" w:space="1" w:color="auto"/>
          <w:bottom w:val="single" w:sz="6" w:space="1" w:color="auto"/>
        </w:pBdr>
        <w:rPr>
          <w:rFonts w:ascii="Arial" w:hAnsi="Arial" w:cs="Arial"/>
        </w:rPr>
      </w:pPr>
    </w:p>
    <w:p w:rsidR="00843938" w:rsidRDefault="00843938" w:rsidP="00D7041A">
      <w:pPr>
        <w:pBdr>
          <w:bottom w:val="single" w:sz="6" w:space="1" w:color="auto"/>
        </w:pBdr>
        <w:rPr>
          <w:rFonts w:ascii="Arial" w:hAnsi="Arial" w:cs="Arial"/>
        </w:rPr>
      </w:pPr>
    </w:p>
    <w:p w:rsidR="00A53282" w:rsidRDefault="00A53282" w:rsidP="00D7041A">
      <w:pPr>
        <w:pBdr>
          <w:bottom w:val="single" w:sz="6" w:space="1" w:color="auto"/>
        </w:pBdr>
        <w:rPr>
          <w:rFonts w:ascii="Arial" w:hAnsi="Arial" w:cs="Arial"/>
        </w:rPr>
      </w:pPr>
      <w:r>
        <w:rPr>
          <w:rFonts w:ascii="Arial" w:hAnsi="Arial" w:cs="Arial"/>
        </w:rPr>
        <w:t>Additional Required Course Materials:</w:t>
      </w:r>
    </w:p>
    <w:p w:rsidR="00A53282" w:rsidRDefault="00A53282" w:rsidP="00D7041A">
      <w:pPr>
        <w:pBdr>
          <w:bottom w:val="single" w:sz="6" w:space="1" w:color="auto"/>
        </w:pBdr>
        <w:rPr>
          <w:rFonts w:ascii="Arial" w:hAnsi="Arial" w:cs="Arial"/>
        </w:rPr>
      </w:pPr>
    </w:p>
    <w:p w:rsidR="00A53282" w:rsidRDefault="00A53282" w:rsidP="00D7041A">
      <w:pPr>
        <w:pBdr>
          <w:bottom w:val="single" w:sz="6" w:space="1" w:color="auto"/>
        </w:pBdr>
        <w:rPr>
          <w:rFonts w:ascii="Arial" w:hAnsi="Arial" w:cs="Arial"/>
        </w:rPr>
      </w:pPr>
      <w:r>
        <w:rPr>
          <w:rFonts w:ascii="Arial" w:hAnsi="Arial" w:cs="Arial"/>
        </w:rPr>
        <w:tab/>
        <w:t>Additional required course materials are provided on the class website under</w:t>
      </w:r>
    </w:p>
    <w:p w:rsidR="00A53282" w:rsidRDefault="00A53282" w:rsidP="00D7041A">
      <w:pPr>
        <w:pBdr>
          <w:bottom w:val="single" w:sz="6" w:space="1" w:color="auto"/>
        </w:pBdr>
        <w:rPr>
          <w:rFonts w:ascii="Arial" w:hAnsi="Arial" w:cs="Arial"/>
        </w:rPr>
      </w:pPr>
      <w:r>
        <w:rPr>
          <w:rFonts w:ascii="Arial" w:hAnsi="Arial" w:cs="Arial"/>
        </w:rPr>
        <w:t>The INFORMATON tab.  You should print these additional materials for inclusion in your notes for this course.</w:t>
      </w:r>
    </w:p>
    <w:p w:rsidR="00A53282" w:rsidRPr="00240018" w:rsidRDefault="00A53282" w:rsidP="00D7041A">
      <w:pPr>
        <w:pBdr>
          <w:bottom w:val="single" w:sz="6" w:space="1" w:color="auto"/>
        </w:pBdr>
        <w:rPr>
          <w:rFonts w:ascii="Arial" w:hAnsi="Arial" w:cs="Arial"/>
        </w:rPr>
      </w:pPr>
    </w:p>
    <w:p w:rsidR="00A53282" w:rsidRPr="007F4B7B" w:rsidRDefault="00A53282" w:rsidP="00C979B4">
      <w:pPr>
        <w:rPr>
          <w:rFonts w:ascii="Verdana Ref" w:hAnsi="Verdana Ref" w:cs="Tunga"/>
          <w:sz w:val="20"/>
          <w:szCs w:val="20"/>
          <w:u w:val="single"/>
        </w:rPr>
      </w:pPr>
      <w:r w:rsidRPr="007F4B7B">
        <w:rPr>
          <w:rFonts w:ascii="Verdana Ref" w:hAnsi="Verdana Ref" w:cs="Tunga"/>
          <w:b/>
          <w:bCs/>
          <w:sz w:val="20"/>
          <w:szCs w:val="20"/>
          <w:u w:val="single"/>
        </w:rPr>
        <w:t>Class Expectations</w:t>
      </w:r>
      <w:r>
        <w:rPr>
          <w:rFonts w:ascii="Verdana Ref" w:hAnsi="Verdana Ref" w:cs="Tunga"/>
          <w:b/>
          <w:bCs/>
          <w:sz w:val="20"/>
          <w:szCs w:val="20"/>
          <w:u w:val="single"/>
        </w:rPr>
        <w:t>:</w:t>
      </w:r>
    </w:p>
    <w:p w:rsidR="00A53282" w:rsidRPr="00F412CB" w:rsidRDefault="00A53282" w:rsidP="00C979B4">
      <w:pPr>
        <w:rPr>
          <w:rFonts w:ascii="Verdana Ref" w:hAnsi="Verdana Ref" w:cs="Tunga"/>
          <w:sz w:val="20"/>
          <w:szCs w:val="20"/>
        </w:rPr>
      </w:pPr>
    </w:p>
    <w:p w:rsidR="00A53282" w:rsidRPr="00F412CB" w:rsidRDefault="00A53282" w:rsidP="00C979B4">
      <w:pPr>
        <w:pStyle w:val="BodyTextIndent"/>
        <w:ind w:hanging="360"/>
        <w:rPr>
          <w:rFonts w:ascii="Verdana Ref" w:hAnsi="Verdana Ref" w:cs="Tunga"/>
          <w:sz w:val="20"/>
          <w:szCs w:val="20"/>
        </w:rPr>
      </w:pPr>
      <w:r>
        <w:rPr>
          <w:rFonts w:ascii="Verdana Ref" w:hAnsi="Verdana Ref" w:cs="Tunga"/>
          <w:sz w:val="20"/>
          <w:szCs w:val="20"/>
        </w:rPr>
        <w:t xml:space="preserve">1. </w:t>
      </w:r>
      <w:r>
        <w:rPr>
          <w:rFonts w:ascii="Verdana Ref" w:hAnsi="Verdana Ref" w:cs="Tunga"/>
          <w:sz w:val="20"/>
          <w:szCs w:val="20"/>
        </w:rPr>
        <w:tab/>
        <w:t>Attendance. Students are required to attend class.</w:t>
      </w:r>
    </w:p>
    <w:p w:rsidR="00A53282" w:rsidRPr="008D0A92" w:rsidRDefault="00A53282" w:rsidP="008D0A92">
      <w:pPr>
        <w:pStyle w:val="Heading2"/>
        <w:ind w:left="360"/>
        <w:contextualSpacing/>
        <w:jc w:val="left"/>
        <w:rPr>
          <w:rFonts w:ascii="Verdana" w:hAnsi="Verdana" w:cs="Arial"/>
          <w:b w:val="0"/>
          <w:sz w:val="20"/>
          <w:szCs w:val="20"/>
        </w:rPr>
      </w:pPr>
      <w:r w:rsidRPr="00F412CB">
        <w:rPr>
          <w:rFonts w:ascii="Verdana Ref" w:hAnsi="Verdana Ref" w:cs="Tunga"/>
          <w:sz w:val="20"/>
          <w:szCs w:val="20"/>
        </w:rPr>
        <w:t>2.</w:t>
      </w:r>
      <w:r w:rsidRPr="00F412CB">
        <w:rPr>
          <w:rFonts w:ascii="Verdana Ref" w:hAnsi="Verdana Ref" w:cs="Tunga"/>
          <w:sz w:val="20"/>
          <w:szCs w:val="20"/>
        </w:rPr>
        <w:tab/>
      </w:r>
      <w:r w:rsidRPr="008D0A92">
        <w:rPr>
          <w:rFonts w:ascii="Verdana" w:hAnsi="Verdana" w:cs="Arial"/>
          <w:sz w:val="20"/>
          <w:szCs w:val="20"/>
          <w:u w:val="single"/>
        </w:rPr>
        <w:t>Absences due to Religious Observances</w:t>
      </w:r>
      <w:r w:rsidRPr="008D0A92">
        <w:rPr>
          <w:rFonts w:ascii="Verdana" w:hAnsi="Verdana" w:cs="Arial"/>
          <w:b w:val="0"/>
          <w:sz w:val="20"/>
          <w:szCs w:val="20"/>
        </w:rPr>
        <w:t>:</w:t>
      </w:r>
    </w:p>
    <w:p w:rsidR="00A53282" w:rsidRPr="008D0A92" w:rsidRDefault="00A53282" w:rsidP="008D0A92">
      <w:pPr>
        <w:pStyle w:val="Heading2"/>
        <w:ind w:left="720"/>
        <w:contextualSpacing/>
        <w:jc w:val="left"/>
        <w:rPr>
          <w:rFonts w:ascii="Verdana" w:hAnsi="Verdana" w:cs="Arial"/>
          <w:b w:val="0"/>
          <w:sz w:val="20"/>
          <w:szCs w:val="20"/>
        </w:rPr>
      </w:pPr>
      <w:r w:rsidRPr="008D0A92">
        <w:rPr>
          <w:rFonts w:ascii="Verdana" w:hAnsi="Verdana" w:cs="Arial"/>
          <w:b w:val="0"/>
          <w:sz w:val="20"/>
          <w:szCs w:val="20"/>
        </w:rPr>
        <w:t>Students are expected to notify their instructors at the beginning of each academic term if they intend to be absent for a class or announced examination. Students absent for religious reasons, as noticed to the instructor at the beginning of each academic term, will be given reasonable opportunities to make up any work missed.  For further information, please refer to:</w:t>
      </w:r>
    </w:p>
    <w:p w:rsidR="00A53282" w:rsidRPr="008D0A92" w:rsidRDefault="00973792" w:rsidP="008D0A92">
      <w:pPr>
        <w:pStyle w:val="Heading2"/>
        <w:contextualSpacing/>
        <w:rPr>
          <w:rFonts w:ascii="Verdana" w:hAnsi="Verdana" w:cs="Arial"/>
          <w:b w:val="0"/>
          <w:sz w:val="20"/>
          <w:szCs w:val="20"/>
        </w:rPr>
      </w:pPr>
      <w:hyperlink r:id="rId7" w:history="1">
        <w:r w:rsidR="00A53282" w:rsidRPr="008D0A92">
          <w:rPr>
            <w:rStyle w:val="Hyperlink"/>
            <w:rFonts w:ascii="Verdana" w:hAnsi="Verdana" w:cs="Arial"/>
            <w:b w:val="0"/>
            <w:bCs w:val="0"/>
            <w:sz w:val="20"/>
            <w:szCs w:val="20"/>
          </w:rPr>
          <w:t>http://generalcounsel.usf.edu/policies-and-procedures/pdfs/policy-10-045.pdf</w:t>
        </w:r>
      </w:hyperlink>
    </w:p>
    <w:p w:rsidR="00A53282" w:rsidRDefault="00A53282" w:rsidP="00C979B4">
      <w:pPr>
        <w:ind w:left="720" w:hanging="360"/>
        <w:rPr>
          <w:rFonts w:ascii="Verdana Ref" w:hAnsi="Verdana Ref" w:cs="Tunga"/>
          <w:sz w:val="20"/>
          <w:szCs w:val="20"/>
        </w:rPr>
      </w:pPr>
      <w:r w:rsidRPr="00F412CB">
        <w:rPr>
          <w:rFonts w:ascii="Verdana Ref" w:hAnsi="Verdana Ref" w:cs="Tunga"/>
          <w:sz w:val="20"/>
          <w:szCs w:val="20"/>
        </w:rPr>
        <w:t>3</w:t>
      </w:r>
      <w:r>
        <w:rPr>
          <w:rFonts w:ascii="Verdana Ref" w:hAnsi="Verdana Ref" w:cs="Tunga"/>
          <w:sz w:val="20"/>
          <w:szCs w:val="20"/>
        </w:rPr>
        <w:t>.</w:t>
      </w:r>
      <w:r w:rsidRPr="00F412CB">
        <w:rPr>
          <w:rFonts w:ascii="Verdana Ref" w:hAnsi="Verdana Ref" w:cs="Tunga"/>
          <w:sz w:val="20"/>
          <w:szCs w:val="20"/>
        </w:rPr>
        <w:t xml:space="preserve"> </w:t>
      </w:r>
      <w:r w:rsidRPr="00F412CB">
        <w:rPr>
          <w:rFonts w:ascii="Verdana Ref" w:hAnsi="Verdana Ref" w:cs="Tunga"/>
          <w:sz w:val="20"/>
          <w:szCs w:val="20"/>
        </w:rPr>
        <w:tab/>
        <w:t>Incompletes (I)</w:t>
      </w:r>
      <w:r>
        <w:rPr>
          <w:rFonts w:ascii="Verdana Ref" w:hAnsi="Verdana Ref" w:cs="Tunga"/>
          <w:sz w:val="20"/>
          <w:szCs w:val="20"/>
        </w:rPr>
        <w:t>. May be granted after consultation with the instructor of this course</w:t>
      </w:r>
    </w:p>
    <w:p w:rsidR="00A53282" w:rsidRPr="00F412CB" w:rsidRDefault="00A53282" w:rsidP="00C979B4">
      <w:pPr>
        <w:ind w:left="720" w:hanging="360"/>
        <w:rPr>
          <w:rFonts w:ascii="Verdana Ref" w:hAnsi="Verdana Ref" w:cs="Tunga"/>
          <w:sz w:val="20"/>
          <w:szCs w:val="20"/>
        </w:rPr>
      </w:pPr>
      <w:r>
        <w:rPr>
          <w:rFonts w:ascii="Verdana Ref" w:hAnsi="Verdana Ref" w:cs="Tunga"/>
          <w:sz w:val="20"/>
          <w:szCs w:val="20"/>
        </w:rPr>
        <w:t>4.   Extra Credit. There is no provision for extra credit.</w:t>
      </w:r>
    </w:p>
    <w:p w:rsidR="00A53282" w:rsidRDefault="00A53282" w:rsidP="00C979B4">
      <w:pPr>
        <w:numPr>
          <w:ilvl w:val="0"/>
          <w:numId w:val="3"/>
        </w:numPr>
        <w:rPr>
          <w:rFonts w:ascii="Verdana Ref" w:hAnsi="Verdana Ref" w:cs="Tunga"/>
          <w:sz w:val="20"/>
          <w:szCs w:val="20"/>
        </w:rPr>
      </w:pPr>
      <w:r w:rsidRPr="00F412CB">
        <w:rPr>
          <w:rFonts w:ascii="Verdana Ref" w:hAnsi="Verdana Ref" w:cs="Tunga"/>
          <w:sz w:val="20"/>
          <w:szCs w:val="20"/>
        </w:rPr>
        <w:t xml:space="preserve">If you need to be absent due to medical reasons (yours or your immediate family's) on a test day or a day that an assignment is due, please provide a physician's note and notify me </w:t>
      </w:r>
      <w:r w:rsidRPr="00F412CB">
        <w:rPr>
          <w:rFonts w:ascii="Verdana Ref" w:hAnsi="Verdana Ref" w:cs="Tunga"/>
          <w:b/>
          <w:i/>
          <w:sz w:val="20"/>
          <w:szCs w:val="20"/>
          <w:u w:val="single"/>
        </w:rPr>
        <w:t>prior</w:t>
      </w:r>
      <w:r w:rsidRPr="00F412CB">
        <w:rPr>
          <w:rFonts w:ascii="Verdana Ref" w:hAnsi="Verdana Ref" w:cs="Tunga"/>
          <w:sz w:val="20"/>
          <w:szCs w:val="20"/>
        </w:rPr>
        <w:t xml:space="preserve"> to class.    </w:t>
      </w:r>
    </w:p>
    <w:p w:rsidR="00A53282" w:rsidRDefault="00A53282" w:rsidP="00C979B4">
      <w:pPr>
        <w:numPr>
          <w:ilvl w:val="0"/>
          <w:numId w:val="3"/>
        </w:numPr>
        <w:rPr>
          <w:rFonts w:ascii="Verdana Ref" w:hAnsi="Verdana Ref" w:cs="Tunga"/>
          <w:sz w:val="20"/>
          <w:szCs w:val="20"/>
        </w:rPr>
      </w:pPr>
      <w:r>
        <w:rPr>
          <w:rFonts w:ascii="Verdana Ref" w:hAnsi="Verdana Ref" w:cs="Tunga"/>
          <w:sz w:val="20"/>
          <w:szCs w:val="20"/>
        </w:rPr>
        <w:t xml:space="preserve">Students will behave in a respectful manner. </w:t>
      </w:r>
    </w:p>
    <w:p w:rsidR="00A53282" w:rsidRPr="00F412CB" w:rsidRDefault="00A53282" w:rsidP="00C979B4">
      <w:pPr>
        <w:numPr>
          <w:ilvl w:val="0"/>
          <w:numId w:val="3"/>
        </w:numPr>
        <w:rPr>
          <w:rFonts w:ascii="Verdana Ref" w:hAnsi="Verdana Ref" w:cs="Tunga"/>
          <w:sz w:val="20"/>
          <w:szCs w:val="20"/>
        </w:rPr>
      </w:pPr>
      <w:r>
        <w:rPr>
          <w:rFonts w:ascii="Verdana Ref" w:hAnsi="Verdana Ref" w:cs="Tunga"/>
          <w:sz w:val="20"/>
          <w:szCs w:val="20"/>
        </w:rPr>
        <w:t xml:space="preserve">Students will complete all required assignments. </w:t>
      </w:r>
    </w:p>
    <w:p w:rsidR="00A53282" w:rsidRPr="00F412CB" w:rsidRDefault="00A53282" w:rsidP="00C979B4">
      <w:pPr>
        <w:widowControl w:val="0"/>
        <w:pBdr>
          <w:bottom w:val="single" w:sz="6" w:space="1" w:color="auto"/>
        </w:pBdr>
        <w:rPr>
          <w:rFonts w:ascii="Verdana Ref" w:hAnsi="Verdana Ref" w:cs="Tunga"/>
          <w:sz w:val="20"/>
          <w:szCs w:val="20"/>
        </w:rPr>
      </w:pPr>
    </w:p>
    <w:p w:rsidR="00A53282" w:rsidRDefault="00A53282" w:rsidP="00601C7A">
      <w:pPr>
        <w:ind w:left="720" w:hanging="720"/>
        <w:rPr>
          <w:rFonts w:ascii="Verdana" w:hAnsi="Verdana"/>
          <w:sz w:val="18"/>
          <w:szCs w:val="18"/>
        </w:rPr>
      </w:pPr>
    </w:p>
    <w:p w:rsidR="00A53282" w:rsidRDefault="00A53282" w:rsidP="00601C7A">
      <w:pPr>
        <w:ind w:left="720" w:hanging="720"/>
        <w:rPr>
          <w:rFonts w:ascii="Verdana" w:hAnsi="Verdana"/>
          <w:sz w:val="18"/>
          <w:szCs w:val="18"/>
        </w:rPr>
      </w:pPr>
    </w:p>
    <w:p w:rsidR="00A53282" w:rsidRPr="00B65279" w:rsidRDefault="00A53282" w:rsidP="00601C7A">
      <w:pPr>
        <w:ind w:left="720" w:hanging="720"/>
        <w:rPr>
          <w:rFonts w:ascii="Verdana" w:hAnsi="Verdana"/>
          <w:b/>
          <w:sz w:val="18"/>
          <w:szCs w:val="18"/>
          <w:u w:val="single"/>
        </w:rPr>
      </w:pPr>
      <w:r w:rsidRPr="00B65279">
        <w:rPr>
          <w:rFonts w:ascii="Verdana" w:hAnsi="Verdana"/>
          <w:b/>
          <w:sz w:val="18"/>
          <w:szCs w:val="18"/>
          <w:u w:val="single"/>
        </w:rPr>
        <w:t>Course Requirements:</w:t>
      </w:r>
    </w:p>
    <w:p w:rsidR="00A53282" w:rsidRPr="00F412CB" w:rsidRDefault="00A53282" w:rsidP="00A03EEE">
      <w:pPr>
        <w:rPr>
          <w:rFonts w:ascii="Verdana Ref" w:hAnsi="Verdana Ref" w:cs="Tunga"/>
          <w:sz w:val="20"/>
          <w:szCs w:val="20"/>
        </w:rPr>
      </w:pPr>
      <w:r w:rsidRPr="00601C7A">
        <w:rPr>
          <w:rFonts w:ascii="Verdana" w:hAnsi="Verdana"/>
          <w:sz w:val="18"/>
          <w:szCs w:val="18"/>
        </w:rPr>
        <w:br/>
      </w:r>
      <w:r w:rsidRPr="00F412CB">
        <w:rPr>
          <w:rFonts w:ascii="Verdana Ref" w:hAnsi="Verdana Ref" w:cs="Tunga"/>
          <w:b/>
          <w:sz w:val="20"/>
          <w:szCs w:val="20"/>
        </w:rPr>
        <w:t>Exams</w:t>
      </w:r>
      <w:r>
        <w:rPr>
          <w:rFonts w:ascii="Verdana Ref" w:hAnsi="Verdana Ref" w:cs="Tunga"/>
          <w:sz w:val="20"/>
          <w:szCs w:val="20"/>
        </w:rPr>
        <w:t xml:space="preserve">: </w:t>
      </w:r>
      <w:r w:rsidR="000D7D74">
        <w:rPr>
          <w:rFonts w:ascii="Verdana Ref" w:hAnsi="Verdana Ref" w:cs="Tunga"/>
          <w:sz w:val="20"/>
          <w:szCs w:val="20"/>
        </w:rPr>
        <w:t>None</w:t>
      </w:r>
      <w:r>
        <w:rPr>
          <w:rFonts w:ascii="Verdana Ref" w:hAnsi="Verdana Ref" w:cs="Tunga"/>
          <w:sz w:val="20"/>
          <w:szCs w:val="20"/>
        </w:rPr>
        <w:t>.</w:t>
      </w:r>
    </w:p>
    <w:p w:rsidR="00A53282" w:rsidRDefault="00A53282" w:rsidP="0052704E">
      <w:pPr>
        <w:pStyle w:val="NormalWeb"/>
        <w:rPr>
          <w:rFonts w:ascii="Verdana Ref" w:hAnsi="Verdana Ref" w:cs="Tunga"/>
          <w:sz w:val="20"/>
          <w:szCs w:val="20"/>
        </w:rPr>
      </w:pPr>
      <w:r>
        <w:rPr>
          <w:rFonts w:ascii="Verdana Ref" w:hAnsi="Verdana Ref" w:cs="Tunga"/>
          <w:b/>
          <w:sz w:val="20"/>
          <w:szCs w:val="20"/>
        </w:rPr>
        <w:t xml:space="preserve">Quizzes: </w:t>
      </w:r>
      <w:r>
        <w:rPr>
          <w:rFonts w:ascii="Verdana Ref" w:hAnsi="Verdana Ref" w:cs="Tunga"/>
          <w:sz w:val="20"/>
          <w:szCs w:val="20"/>
        </w:rPr>
        <w:t>None</w:t>
      </w:r>
      <w:r w:rsidR="000D7D74">
        <w:rPr>
          <w:rFonts w:ascii="Verdana Ref" w:hAnsi="Verdana Ref" w:cs="Tunga"/>
          <w:sz w:val="20"/>
          <w:szCs w:val="20"/>
        </w:rPr>
        <w:t xml:space="preserve">. </w:t>
      </w:r>
    </w:p>
    <w:p w:rsidR="00A53282" w:rsidRDefault="00A53282" w:rsidP="00601C7A">
      <w:pPr>
        <w:pStyle w:val="NormalWeb"/>
        <w:rPr>
          <w:rFonts w:ascii="Verdana Ref" w:hAnsi="Verdana Ref" w:cs="Tunga"/>
          <w:sz w:val="20"/>
          <w:szCs w:val="20"/>
        </w:rPr>
      </w:pPr>
      <w:r>
        <w:rPr>
          <w:rFonts w:ascii="Verdana Ref" w:hAnsi="Verdana Ref" w:cs="Tunga"/>
          <w:b/>
          <w:sz w:val="20"/>
          <w:szCs w:val="20"/>
        </w:rPr>
        <w:t xml:space="preserve">Group </w:t>
      </w:r>
      <w:proofErr w:type="gramStart"/>
      <w:r>
        <w:rPr>
          <w:rFonts w:ascii="Verdana Ref" w:hAnsi="Verdana Ref" w:cs="Tunga"/>
          <w:b/>
          <w:sz w:val="20"/>
          <w:szCs w:val="20"/>
        </w:rPr>
        <w:t>Discussions</w:t>
      </w:r>
      <w:r>
        <w:rPr>
          <w:rFonts w:ascii="Verdana Ref" w:hAnsi="Verdana Ref" w:cs="Tunga"/>
          <w:sz w:val="20"/>
          <w:szCs w:val="20"/>
        </w:rPr>
        <w:t xml:space="preserve"> :</w:t>
      </w:r>
      <w:proofErr w:type="gramEnd"/>
      <w:r>
        <w:rPr>
          <w:rFonts w:ascii="Verdana Ref" w:hAnsi="Verdana Ref" w:cs="Tunga"/>
          <w:sz w:val="20"/>
          <w:szCs w:val="20"/>
        </w:rPr>
        <w:t xml:space="preserve"> Yes.</w:t>
      </w:r>
    </w:p>
    <w:p w:rsidR="00A53282" w:rsidRDefault="00A53282" w:rsidP="008D0A92">
      <w:pPr>
        <w:pStyle w:val="NormalWeb"/>
        <w:rPr>
          <w:rFonts w:ascii="Verdana Ref" w:hAnsi="Verdana Ref" w:cs="Tunga"/>
          <w:sz w:val="20"/>
          <w:szCs w:val="20"/>
        </w:rPr>
      </w:pPr>
      <w:r w:rsidRPr="008D0A92">
        <w:rPr>
          <w:rFonts w:ascii="Verdana Ref" w:hAnsi="Verdana Ref" w:cs="Tunga"/>
          <w:b/>
          <w:sz w:val="20"/>
          <w:szCs w:val="20"/>
        </w:rPr>
        <w:t>Assignments</w:t>
      </w:r>
      <w:r>
        <w:rPr>
          <w:rFonts w:ascii="Verdana Ref" w:hAnsi="Verdana Ref" w:cs="Tunga"/>
          <w:sz w:val="20"/>
          <w:szCs w:val="20"/>
        </w:rPr>
        <w:t>: Yes.</w:t>
      </w:r>
    </w:p>
    <w:p w:rsidR="00A53282" w:rsidRPr="00F412CB" w:rsidRDefault="00A53282" w:rsidP="00601C7A">
      <w:pPr>
        <w:rPr>
          <w:rFonts w:ascii="Verdana Ref" w:hAnsi="Verdana Ref" w:cs="Tunga"/>
          <w:sz w:val="20"/>
          <w:szCs w:val="20"/>
        </w:rPr>
      </w:pPr>
      <w:r w:rsidRPr="00F412CB">
        <w:rPr>
          <w:rFonts w:ascii="Verdana Ref" w:hAnsi="Verdana Ref" w:cs="Tunga"/>
          <w:b/>
          <w:bCs/>
          <w:sz w:val="20"/>
          <w:szCs w:val="20"/>
        </w:rPr>
        <w:t>Your grade will be based on the following</w:t>
      </w:r>
      <w:r w:rsidRPr="00F412CB">
        <w:rPr>
          <w:rFonts w:ascii="Verdana Ref" w:hAnsi="Verdana Ref" w:cs="Tunga"/>
          <w:sz w:val="20"/>
          <w:szCs w:val="20"/>
        </w:rPr>
        <w:t>:</w:t>
      </w:r>
    </w:p>
    <w:p w:rsidR="00A53282" w:rsidRPr="00F412CB" w:rsidRDefault="00A53282" w:rsidP="00601C7A">
      <w:pPr>
        <w:rPr>
          <w:rFonts w:ascii="Verdana Ref" w:hAnsi="Verdana Ref" w:cs="Tunga"/>
          <w:sz w:val="20"/>
          <w:szCs w:val="20"/>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890"/>
      </w:tblGrid>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Assignment/Test</w:t>
            </w:r>
          </w:p>
        </w:tc>
        <w:tc>
          <w:tcPr>
            <w:tcW w:w="1890" w:type="dxa"/>
          </w:tcPr>
          <w:p w:rsidR="00A53282" w:rsidRPr="00F412CB" w:rsidRDefault="00A53282" w:rsidP="0095033A">
            <w:pPr>
              <w:rPr>
                <w:rFonts w:ascii="Verdana Ref" w:hAnsi="Verdana Ref" w:cs="Tunga"/>
                <w:sz w:val="20"/>
                <w:szCs w:val="20"/>
              </w:rPr>
            </w:pPr>
            <w:r>
              <w:rPr>
                <w:rFonts w:ascii="Verdana Ref" w:hAnsi="Verdana Ref" w:cs="Tunga"/>
                <w:sz w:val="20"/>
                <w:szCs w:val="20"/>
              </w:rPr>
              <w:t>Percent of Grade</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Midterm</w:t>
            </w:r>
          </w:p>
        </w:tc>
        <w:tc>
          <w:tcPr>
            <w:tcW w:w="1890" w:type="dxa"/>
          </w:tcPr>
          <w:p w:rsidR="00A53282" w:rsidRPr="00F412CB" w:rsidRDefault="000D7D74" w:rsidP="0095033A">
            <w:pPr>
              <w:rPr>
                <w:rFonts w:ascii="Verdana Ref" w:hAnsi="Verdana Ref" w:cs="Tunga"/>
                <w:sz w:val="20"/>
                <w:szCs w:val="20"/>
              </w:rPr>
            </w:pPr>
            <w:r>
              <w:rPr>
                <w:rFonts w:ascii="Verdana Ref" w:hAnsi="Verdana Ref" w:cs="Tunga"/>
                <w:sz w:val="20"/>
                <w:szCs w:val="20"/>
              </w:rPr>
              <w:t xml:space="preserve">  0   </w:t>
            </w:r>
            <w:r w:rsidR="00A53282">
              <w:rPr>
                <w:rFonts w:ascii="Verdana Ref" w:hAnsi="Verdana Ref" w:cs="Tunga"/>
                <w:sz w:val="20"/>
                <w:szCs w:val="20"/>
              </w:rPr>
              <w:t xml:space="preserve"> %</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sidRPr="00F412CB">
              <w:rPr>
                <w:rFonts w:ascii="Verdana Ref" w:hAnsi="Verdana Ref" w:cs="Tunga"/>
                <w:sz w:val="20"/>
                <w:szCs w:val="20"/>
              </w:rPr>
              <w:t>Final</w:t>
            </w:r>
          </w:p>
        </w:tc>
        <w:tc>
          <w:tcPr>
            <w:tcW w:w="1890" w:type="dxa"/>
          </w:tcPr>
          <w:p w:rsidR="00A53282" w:rsidRPr="00F412CB" w:rsidRDefault="000D7D74" w:rsidP="000D7D74">
            <w:pPr>
              <w:rPr>
                <w:rFonts w:ascii="Verdana Ref" w:hAnsi="Verdana Ref" w:cs="Tunga"/>
                <w:sz w:val="20"/>
                <w:szCs w:val="20"/>
              </w:rPr>
            </w:pPr>
            <w:r>
              <w:rPr>
                <w:rFonts w:ascii="Verdana Ref" w:hAnsi="Verdana Ref" w:cs="Tunga"/>
                <w:sz w:val="20"/>
                <w:szCs w:val="20"/>
              </w:rPr>
              <w:t xml:space="preserve">  0    </w:t>
            </w:r>
            <w:r w:rsidR="00A53282">
              <w:rPr>
                <w:rFonts w:ascii="Verdana Ref" w:hAnsi="Verdana Ref" w:cs="Tunga"/>
                <w:sz w:val="20"/>
                <w:szCs w:val="20"/>
              </w:rPr>
              <w:t>%</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Group Discussion</w:t>
            </w:r>
          </w:p>
        </w:tc>
        <w:tc>
          <w:tcPr>
            <w:tcW w:w="1890" w:type="dxa"/>
          </w:tcPr>
          <w:p w:rsidR="00A53282" w:rsidRPr="00F412CB" w:rsidRDefault="000D7D74" w:rsidP="0095033A">
            <w:pPr>
              <w:rPr>
                <w:rFonts w:ascii="Verdana Ref" w:hAnsi="Verdana Ref" w:cs="Tunga"/>
                <w:sz w:val="20"/>
                <w:szCs w:val="20"/>
              </w:rPr>
            </w:pPr>
            <w:r>
              <w:rPr>
                <w:rFonts w:ascii="Verdana Ref" w:hAnsi="Verdana Ref" w:cs="Tunga"/>
                <w:sz w:val="20"/>
                <w:szCs w:val="20"/>
              </w:rPr>
              <w:t>30</w:t>
            </w:r>
            <w:r w:rsidR="00A53282">
              <w:rPr>
                <w:rFonts w:ascii="Verdana Ref" w:hAnsi="Verdana Ref" w:cs="Tunga"/>
                <w:sz w:val="20"/>
                <w:szCs w:val="20"/>
              </w:rPr>
              <w:t xml:space="preserve">    %</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Attendance</w:t>
            </w:r>
          </w:p>
        </w:tc>
        <w:tc>
          <w:tcPr>
            <w:tcW w:w="1890" w:type="dxa"/>
          </w:tcPr>
          <w:p w:rsidR="00A53282" w:rsidRPr="00F412CB" w:rsidRDefault="00A53282" w:rsidP="0095033A">
            <w:pPr>
              <w:rPr>
                <w:rFonts w:ascii="Verdana Ref" w:hAnsi="Verdana Ref" w:cs="Tunga"/>
                <w:sz w:val="20"/>
                <w:szCs w:val="20"/>
              </w:rPr>
            </w:pPr>
            <w:r>
              <w:rPr>
                <w:rFonts w:ascii="Verdana Ref" w:hAnsi="Verdana Ref" w:cs="Tunga"/>
                <w:sz w:val="20"/>
                <w:szCs w:val="20"/>
              </w:rPr>
              <w:t xml:space="preserve">10    </w:t>
            </w:r>
            <w:r w:rsidRPr="00F412CB">
              <w:rPr>
                <w:rFonts w:ascii="Verdana Ref" w:hAnsi="Verdana Ref" w:cs="Tunga"/>
                <w:sz w:val="20"/>
                <w:szCs w:val="20"/>
              </w:rPr>
              <w:t>%</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Pr>
                <w:rFonts w:ascii="Verdana Ref" w:hAnsi="Verdana Ref" w:cs="Tunga"/>
                <w:sz w:val="20"/>
                <w:szCs w:val="20"/>
              </w:rPr>
              <w:t>Homework</w:t>
            </w:r>
          </w:p>
        </w:tc>
        <w:tc>
          <w:tcPr>
            <w:tcW w:w="1890" w:type="dxa"/>
          </w:tcPr>
          <w:p w:rsidR="00A53282" w:rsidRPr="00F412CB" w:rsidRDefault="000D7D74" w:rsidP="0095033A">
            <w:pPr>
              <w:rPr>
                <w:rFonts w:ascii="Verdana Ref" w:hAnsi="Verdana Ref" w:cs="Tunga"/>
                <w:sz w:val="20"/>
                <w:szCs w:val="20"/>
              </w:rPr>
            </w:pPr>
            <w:r>
              <w:rPr>
                <w:rFonts w:ascii="Verdana Ref" w:hAnsi="Verdana Ref" w:cs="Tunga"/>
                <w:sz w:val="20"/>
                <w:szCs w:val="20"/>
              </w:rPr>
              <w:t xml:space="preserve">  0 </w:t>
            </w:r>
            <w:r w:rsidR="00A53282">
              <w:rPr>
                <w:rFonts w:ascii="Verdana Ref" w:hAnsi="Verdana Ref" w:cs="Tunga"/>
                <w:sz w:val="20"/>
                <w:szCs w:val="20"/>
              </w:rPr>
              <w:t xml:space="preserve">   % </w:t>
            </w:r>
          </w:p>
        </w:tc>
      </w:tr>
      <w:tr w:rsidR="00A53282" w:rsidRPr="00F412CB" w:rsidTr="008D0A92">
        <w:trPr>
          <w:jc w:val="center"/>
        </w:trPr>
        <w:tc>
          <w:tcPr>
            <w:tcW w:w="2880" w:type="dxa"/>
          </w:tcPr>
          <w:p w:rsidR="00A53282" w:rsidRPr="00F412CB" w:rsidRDefault="00A53282" w:rsidP="0095033A">
            <w:pPr>
              <w:rPr>
                <w:rFonts w:ascii="Verdana Ref" w:hAnsi="Verdana Ref" w:cs="Tunga"/>
                <w:sz w:val="20"/>
                <w:szCs w:val="20"/>
              </w:rPr>
            </w:pPr>
            <w:r w:rsidRPr="00F412CB">
              <w:rPr>
                <w:rFonts w:ascii="Verdana Ref" w:hAnsi="Verdana Ref" w:cs="Tunga"/>
                <w:sz w:val="20"/>
                <w:szCs w:val="20"/>
              </w:rPr>
              <w:t>Paper</w:t>
            </w:r>
            <w:r>
              <w:rPr>
                <w:rFonts w:ascii="Verdana Ref" w:hAnsi="Verdana Ref" w:cs="Tunga"/>
                <w:sz w:val="20"/>
                <w:szCs w:val="20"/>
              </w:rPr>
              <w:t>/Written Assignments</w:t>
            </w:r>
          </w:p>
        </w:tc>
        <w:tc>
          <w:tcPr>
            <w:tcW w:w="1890" w:type="dxa"/>
          </w:tcPr>
          <w:p w:rsidR="00A53282" w:rsidRPr="00F412CB" w:rsidRDefault="000D7D74" w:rsidP="0095033A">
            <w:pPr>
              <w:rPr>
                <w:rFonts w:ascii="Verdana Ref" w:hAnsi="Verdana Ref" w:cs="Tunga"/>
                <w:sz w:val="20"/>
                <w:szCs w:val="20"/>
              </w:rPr>
            </w:pPr>
            <w:r>
              <w:rPr>
                <w:rFonts w:ascii="Verdana Ref" w:hAnsi="Verdana Ref" w:cs="Tunga"/>
                <w:sz w:val="20"/>
                <w:szCs w:val="20"/>
              </w:rPr>
              <w:t xml:space="preserve">60 </w:t>
            </w:r>
            <w:r w:rsidR="00A53282">
              <w:rPr>
                <w:rFonts w:ascii="Verdana Ref" w:hAnsi="Verdana Ref" w:cs="Tunga"/>
                <w:sz w:val="20"/>
                <w:szCs w:val="20"/>
              </w:rPr>
              <w:t xml:space="preserve">   %</w:t>
            </w:r>
          </w:p>
        </w:tc>
      </w:tr>
    </w:tbl>
    <w:p w:rsidR="00A53282" w:rsidRDefault="00A53282" w:rsidP="00601C7A">
      <w:pPr>
        <w:pStyle w:val="NormalWeb"/>
        <w:rPr>
          <w:rFonts w:ascii="Verdana Ref" w:hAnsi="Verdana Ref" w:cs="Tunga"/>
          <w:sz w:val="20"/>
          <w:szCs w:val="20"/>
        </w:rPr>
      </w:pPr>
      <w:r w:rsidRPr="00F412CB">
        <w:rPr>
          <w:rFonts w:ascii="Verdana Ref" w:hAnsi="Verdana Ref" w:cs="Tunga"/>
          <w:b/>
          <w:bCs/>
          <w:sz w:val="20"/>
          <w:szCs w:val="20"/>
        </w:rPr>
        <w:t>The following is the grading scale to be used</w:t>
      </w:r>
      <w:r w:rsidRPr="00F412CB">
        <w:rPr>
          <w:rFonts w:ascii="Verdana Ref" w:hAnsi="Verdana Ref" w:cs="Tunga"/>
          <w:sz w:val="20"/>
          <w:szCs w:val="20"/>
        </w:rPr>
        <w:t>:</w:t>
      </w:r>
      <w:r>
        <w:rPr>
          <w:rFonts w:ascii="Verdana Ref" w:hAnsi="Verdana Ref" w:cs="Tunga"/>
          <w:sz w:val="20"/>
          <w:szCs w:val="20"/>
        </w:rPr>
        <w:t xml:space="preserve"> This course employs a standard +/- grading scale:</w:t>
      </w:r>
    </w:p>
    <w:p w:rsidR="00A53282" w:rsidRDefault="00A53282" w:rsidP="00172C9E">
      <w:pPr>
        <w:pBdr>
          <w:bottom w:val="single" w:sz="6" w:space="1" w:color="auto"/>
        </w:pBdr>
      </w:pPr>
      <w:r>
        <w:t>A   = 95-100</w:t>
      </w:r>
      <w:r>
        <w:tab/>
        <w:t>A-  = 90-94</w:t>
      </w:r>
      <w:r>
        <w:tab/>
        <w:t>B+ = 87-89</w:t>
      </w:r>
      <w:r>
        <w:tab/>
        <w:t>B  = 84-86</w:t>
      </w:r>
      <w:r>
        <w:tab/>
        <w:t>B-  = 80-83</w:t>
      </w:r>
      <w:r>
        <w:tab/>
        <w:t>C+ = 77-79</w:t>
      </w:r>
      <w:r>
        <w:tab/>
      </w:r>
    </w:p>
    <w:p w:rsidR="00A53282" w:rsidRDefault="00A53282" w:rsidP="00172C9E">
      <w:pPr>
        <w:pBdr>
          <w:bottom w:val="single" w:sz="6" w:space="1" w:color="auto"/>
        </w:pBdr>
      </w:pPr>
      <w:r>
        <w:t>C   =  74-76</w:t>
      </w:r>
      <w:r>
        <w:tab/>
        <w:t>C - = 70-73</w:t>
      </w:r>
      <w:r>
        <w:tab/>
        <w:t>D = 60-69</w:t>
      </w:r>
      <w:r>
        <w:tab/>
        <w:t>F  = below 60</w:t>
      </w:r>
    </w:p>
    <w:p w:rsidR="00A53282" w:rsidRDefault="00A53282" w:rsidP="00172C9E">
      <w:pPr>
        <w:pBdr>
          <w:bottom w:val="single" w:sz="6" w:space="1" w:color="auto"/>
        </w:pBdr>
      </w:pPr>
    </w:p>
    <w:p w:rsidR="00A53282" w:rsidRDefault="00A53282" w:rsidP="00975EB3">
      <w:pPr>
        <w:pBdr>
          <w:bottom w:val="single" w:sz="6" w:space="1" w:color="auto"/>
        </w:pBdr>
      </w:pPr>
    </w:p>
    <w:p w:rsidR="00A53282" w:rsidRDefault="00A53282" w:rsidP="00975EB3">
      <w:pPr>
        <w:pBdr>
          <w:bottom w:val="single" w:sz="6" w:space="1" w:color="auto"/>
        </w:pBdr>
      </w:pPr>
      <w:r>
        <w:rPr>
          <w:b/>
          <w:u w:val="single"/>
        </w:rPr>
        <w:t>TERM PAPER</w:t>
      </w:r>
      <w:r w:rsidR="000D7D74">
        <w:rPr>
          <w:b/>
          <w:u w:val="single"/>
        </w:rPr>
        <w:t xml:space="preserve"> or Weekly Written Assignments</w:t>
      </w:r>
    </w:p>
    <w:p w:rsidR="00A53282" w:rsidRDefault="00A53282" w:rsidP="00975EB3">
      <w:pPr>
        <w:pBdr>
          <w:bottom w:val="single" w:sz="6" w:space="1" w:color="auto"/>
        </w:pBdr>
      </w:pPr>
    </w:p>
    <w:p w:rsidR="00A53282" w:rsidRDefault="000D7D74" w:rsidP="00975EB3">
      <w:pPr>
        <w:pBdr>
          <w:bottom w:val="single" w:sz="6" w:space="1" w:color="auto"/>
        </w:pBdr>
      </w:pPr>
      <w:r>
        <w:t>Students have the option in this course of: (1) writing a research term paper on any topic related to the materials in this course; or (2) of completing any 5 weekly written summaries for the assigned readings (all readings for a week count as one assignment)</w:t>
      </w:r>
      <w:r w:rsidR="00A53282">
        <w:t xml:space="preserve">. </w:t>
      </w:r>
    </w:p>
    <w:p w:rsidR="000D7D74" w:rsidRDefault="000D7D74" w:rsidP="00975EB3">
      <w:pPr>
        <w:pBdr>
          <w:bottom w:val="single" w:sz="6" w:space="1" w:color="auto"/>
        </w:pBdr>
      </w:pPr>
    </w:p>
    <w:p w:rsidR="000D7D74" w:rsidRDefault="000D7D74" w:rsidP="00975EB3">
      <w:pPr>
        <w:pBdr>
          <w:bottom w:val="single" w:sz="6" w:space="1" w:color="auto"/>
        </w:pBdr>
      </w:pPr>
      <w:proofErr w:type="gramStart"/>
      <w:r w:rsidRPr="000D7D74">
        <w:rPr>
          <w:b/>
          <w:u w:val="single"/>
        </w:rPr>
        <w:t>Term papers</w:t>
      </w:r>
      <w:r>
        <w:t>.</w:t>
      </w:r>
      <w:proofErr w:type="gramEnd"/>
      <w:r>
        <w:t xml:space="preserve">  I set no limits on term papers, but expect that they are quality assignments worthy of a graduate course.  This means that they investigate an area of theory or research, or carry out research.  Original papers (e.g., those that carry out research, or propose a theoretical perspective) should be somewhere between 18-25 pages.  Reviews of an area of relevant research should be 20-30 pages. All research projects should be interdisciplinary and draw on research from fields outside of criminology.</w:t>
      </w:r>
    </w:p>
    <w:p w:rsidR="000D7D74" w:rsidRDefault="000D7D74" w:rsidP="00975EB3">
      <w:pPr>
        <w:pBdr>
          <w:bottom w:val="single" w:sz="6" w:space="1" w:color="auto"/>
        </w:pBdr>
      </w:pPr>
    </w:p>
    <w:p w:rsidR="000D7D74" w:rsidRDefault="000D7D74" w:rsidP="00975EB3">
      <w:pPr>
        <w:pBdr>
          <w:bottom w:val="single" w:sz="6" w:space="1" w:color="auto"/>
        </w:pBdr>
      </w:pPr>
      <w:r>
        <w:t>You should follow standard formatting for review and research papers.  Make sure that you reference these papers adequately.</w:t>
      </w:r>
    </w:p>
    <w:p w:rsidR="00E74CC8" w:rsidRDefault="00E74CC8" w:rsidP="00975EB3">
      <w:pPr>
        <w:pBdr>
          <w:bottom w:val="single" w:sz="6" w:space="1" w:color="auto"/>
        </w:pBdr>
      </w:pPr>
    </w:p>
    <w:p w:rsidR="00E74CC8" w:rsidRDefault="00E74CC8" w:rsidP="00975EB3">
      <w:pPr>
        <w:pBdr>
          <w:bottom w:val="single" w:sz="6" w:space="1" w:color="auto"/>
        </w:pBdr>
      </w:pPr>
      <w:r>
        <w:t>Term Papers are due November 13</w:t>
      </w:r>
      <w:r w:rsidRPr="00E74CC8">
        <w:rPr>
          <w:vertAlign w:val="superscript"/>
        </w:rPr>
        <w:t>th</w:t>
      </w:r>
      <w:r>
        <w:t>.</w:t>
      </w:r>
    </w:p>
    <w:p w:rsidR="000D7D74" w:rsidRDefault="000D7D74" w:rsidP="00975EB3">
      <w:pPr>
        <w:pBdr>
          <w:bottom w:val="single" w:sz="6" w:space="1" w:color="auto"/>
        </w:pBdr>
      </w:pPr>
    </w:p>
    <w:p w:rsidR="000D7D74" w:rsidRDefault="000D7D74" w:rsidP="00975EB3">
      <w:pPr>
        <w:pBdr>
          <w:bottom w:val="single" w:sz="6" w:space="1" w:color="auto"/>
        </w:pBdr>
      </w:pPr>
      <w:proofErr w:type="gramStart"/>
      <w:r>
        <w:rPr>
          <w:b/>
          <w:u w:val="single"/>
        </w:rPr>
        <w:lastRenderedPageBreak/>
        <w:t>Weekly Written Assignments.</w:t>
      </w:r>
      <w:proofErr w:type="gramEnd"/>
      <w:r>
        <w:rPr>
          <w:b/>
          <w:u w:val="single"/>
        </w:rPr>
        <w:t xml:space="preserve"> </w:t>
      </w:r>
      <w:r>
        <w:t xml:space="preserve"> Weekly assignments do not need to review each article individually.  Since weekly assignments include related materials, strong reviews relate the weekly materials to each other.  A weekly review should be approximately 5 pages in length.</w:t>
      </w:r>
    </w:p>
    <w:p w:rsidR="00973792" w:rsidRDefault="00973792" w:rsidP="00975EB3">
      <w:pPr>
        <w:pBdr>
          <w:bottom w:val="single" w:sz="6" w:space="1" w:color="auto"/>
        </w:pBdr>
      </w:pPr>
    </w:p>
    <w:p w:rsidR="00973792" w:rsidRDefault="00973792" w:rsidP="00975EB3">
      <w:pPr>
        <w:pBdr>
          <w:bottom w:val="single" w:sz="6" w:space="1" w:color="auto"/>
        </w:pBdr>
      </w:pPr>
    </w:p>
    <w:p w:rsidR="00973792" w:rsidRDefault="00973792" w:rsidP="00975EB3">
      <w:pPr>
        <w:pBdr>
          <w:bottom w:val="single" w:sz="6" w:space="1" w:color="auto"/>
        </w:pBdr>
      </w:pPr>
      <w:bookmarkStart w:id="0" w:name="_GoBack"/>
      <w:bookmarkEnd w:id="0"/>
    </w:p>
    <w:p w:rsidR="00A53282" w:rsidRDefault="00A53282" w:rsidP="00975EB3">
      <w:pPr>
        <w:pBdr>
          <w:bottom w:val="single" w:sz="6" w:space="1" w:color="auto"/>
        </w:pBdr>
        <w:rPr>
          <w:b/>
          <w:u w:val="single"/>
        </w:rPr>
      </w:pPr>
      <w:r>
        <w:rPr>
          <w:b/>
          <w:u w:val="single"/>
        </w:rPr>
        <w:t>ATTENDANCE AND PARTICIPATION POLICIES</w:t>
      </w:r>
    </w:p>
    <w:p w:rsidR="00A53282" w:rsidRDefault="00A53282" w:rsidP="00975EB3">
      <w:pPr>
        <w:pBdr>
          <w:top w:val="single" w:sz="6" w:space="1" w:color="auto"/>
          <w:bottom w:val="single" w:sz="6" w:space="1" w:color="auto"/>
        </w:pBdr>
        <w:rPr>
          <w:sz w:val="28"/>
          <w:szCs w:val="28"/>
        </w:rPr>
      </w:pPr>
      <w:r>
        <w:tab/>
      </w:r>
      <w:r>
        <w:rPr>
          <w:sz w:val="28"/>
          <w:szCs w:val="28"/>
        </w:rPr>
        <w:t xml:space="preserve">Attendance is required.  </w:t>
      </w:r>
    </w:p>
    <w:p w:rsidR="00A53282" w:rsidRDefault="00A53282" w:rsidP="00975EB3">
      <w:pPr>
        <w:pBdr>
          <w:top w:val="single" w:sz="6" w:space="1" w:color="auto"/>
          <w:bottom w:val="single" w:sz="6" w:space="1" w:color="auto"/>
        </w:pBdr>
        <w:rPr>
          <w:sz w:val="28"/>
          <w:szCs w:val="28"/>
        </w:rPr>
      </w:pPr>
    </w:p>
    <w:p w:rsidR="00A53282" w:rsidRDefault="00A53282" w:rsidP="00975EB3">
      <w:pPr>
        <w:pBdr>
          <w:top w:val="single" w:sz="6" w:space="1" w:color="auto"/>
          <w:bottom w:val="single" w:sz="6" w:space="1" w:color="auto"/>
        </w:pBdr>
        <w:ind w:firstLine="720"/>
        <w:rPr>
          <w:sz w:val="28"/>
          <w:szCs w:val="28"/>
        </w:rPr>
      </w:pPr>
      <w:r>
        <w:rPr>
          <w:sz w:val="28"/>
          <w:szCs w:val="28"/>
        </w:rPr>
        <w:t>Attendance will be taken randomly</w:t>
      </w:r>
      <w:r w:rsidR="000D7D74">
        <w:rPr>
          <w:sz w:val="28"/>
          <w:szCs w:val="28"/>
        </w:rPr>
        <w:t>.  Y</w:t>
      </w:r>
      <w:r>
        <w:rPr>
          <w:sz w:val="28"/>
          <w:szCs w:val="28"/>
        </w:rPr>
        <w:t>our attendance score is constructed based on your attendance percentage.</w:t>
      </w:r>
    </w:p>
    <w:p w:rsidR="00A53282" w:rsidRDefault="00A53282" w:rsidP="00975EB3">
      <w:pPr>
        <w:pBdr>
          <w:top w:val="single" w:sz="6" w:space="1" w:color="auto"/>
          <w:bottom w:val="single" w:sz="6" w:space="1" w:color="auto"/>
        </w:pBdr>
        <w:ind w:firstLine="720"/>
        <w:rPr>
          <w:sz w:val="28"/>
          <w:szCs w:val="28"/>
        </w:rPr>
      </w:pPr>
    </w:p>
    <w:p w:rsidR="00A53282" w:rsidRDefault="00A53282" w:rsidP="00975EB3">
      <w:pPr>
        <w:pBdr>
          <w:top w:val="single" w:sz="6" w:space="1" w:color="auto"/>
          <w:bottom w:val="single" w:sz="6" w:space="1" w:color="auto"/>
        </w:pBdr>
        <w:ind w:firstLine="720"/>
        <w:rPr>
          <w:sz w:val="28"/>
          <w:szCs w:val="28"/>
        </w:rPr>
      </w:pPr>
      <w:r>
        <w:rPr>
          <w:sz w:val="28"/>
          <w:szCs w:val="28"/>
        </w:rPr>
        <w:t xml:space="preserve">The participation grade is based on the </w:t>
      </w:r>
      <w:r w:rsidRPr="00CE02BF">
        <w:rPr>
          <w:i/>
          <w:sz w:val="28"/>
          <w:szCs w:val="28"/>
        </w:rPr>
        <w:t>frequency and quality</w:t>
      </w:r>
      <w:r>
        <w:rPr>
          <w:sz w:val="28"/>
          <w:szCs w:val="28"/>
        </w:rPr>
        <w:t xml:space="preserve"> of your participation in class. Frequent but off track or irrelevant contributions do not count toward participation.  Students who do not wish to participate in class discussion may earn participation points by posting comments, questions, and relevant news items with discussion on the class room discussion board.</w:t>
      </w:r>
    </w:p>
    <w:p w:rsidR="00A53282" w:rsidRDefault="00A53282" w:rsidP="00975EB3">
      <w:pPr>
        <w:pBdr>
          <w:top w:val="single" w:sz="6" w:space="1" w:color="auto"/>
          <w:bottom w:val="single" w:sz="6" w:space="1" w:color="auto"/>
        </w:pBdr>
        <w:rPr>
          <w:sz w:val="28"/>
          <w:szCs w:val="28"/>
        </w:rPr>
      </w:pPr>
    </w:p>
    <w:p w:rsidR="00A53282" w:rsidRDefault="00A53282" w:rsidP="00C979B4">
      <w:pPr>
        <w:pStyle w:val="Heading2"/>
        <w:rPr>
          <w:rFonts w:ascii="Verdana Ref" w:hAnsi="Verdana Ref" w:cs="Tunga"/>
          <w:sz w:val="28"/>
          <w:szCs w:val="28"/>
          <w:u w:val="single"/>
        </w:rPr>
      </w:pPr>
    </w:p>
    <w:p w:rsidR="00A53282" w:rsidRDefault="00A53282" w:rsidP="00C979B4">
      <w:pPr>
        <w:pStyle w:val="Heading2"/>
        <w:rPr>
          <w:rFonts w:ascii="Verdana Ref" w:hAnsi="Verdana Ref" w:cs="Tunga"/>
          <w:b w:val="0"/>
          <w:sz w:val="28"/>
          <w:szCs w:val="28"/>
        </w:rPr>
      </w:pPr>
      <w:r>
        <w:rPr>
          <w:rFonts w:ascii="Verdana Ref" w:hAnsi="Verdana Ref" w:cs="Tunga"/>
          <w:sz w:val="28"/>
          <w:szCs w:val="28"/>
          <w:u w:val="single"/>
        </w:rPr>
        <w:t>COURSE SCHEDULE</w:t>
      </w:r>
    </w:p>
    <w:p w:rsidR="00A53282" w:rsidRDefault="00A53282" w:rsidP="00B65279"/>
    <w:p w:rsidR="00A53282" w:rsidRDefault="00A53282" w:rsidP="00B65279">
      <w:r>
        <w:t>The course schedule is attached to the end of this document.</w:t>
      </w:r>
    </w:p>
    <w:p w:rsidR="00A53282" w:rsidRDefault="00A53282" w:rsidP="00B65279">
      <w:pPr>
        <w:pBdr>
          <w:bottom w:val="single" w:sz="6" w:space="1" w:color="auto"/>
        </w:pBdr>
      </w:pPr>
    </w:p>
    <w:p w:rsidR="00A53282" w:rsidRPr="00B65279" w:rsidRDefault="00A53282" w:rsidP="00B65279"/>
    <w:p w:rsidR="00A53282" w:rsidRDefault="00A53282" w:rsidP="00601C7A">
      <w:pPr>
        <w:rPr>
          <w:rFonts w:ascii="Verdana Ref" w:hAnsi="Verdana Ref" w:cs="Tunga"/>
          <w:b/>
          <w:bCs/>
          <w:sz w:val="20"/>
          <w:szCs w:val="20"/>
        </w:rPr>
      </w:pPr>
    </w:p>
    <w:p w:rsidR="00A53282" w:rsidRPr="00172C9E" w:rsidRDefault="00A53282" w:rsidP="00172C9E">
      <w:pPr>
        <w:ind w:left="2880" w:firstLine="720"/>
        <w:rPr>
          <w:rFonts w:ascii="Verdana Ref" w:hAnsi="Verdana Ref" w:cs="Tunga"/>
          <w:sz w:val="32"/>
          <w:szCs w:val="32"/>
        </w:rPr>
      </w:pPr>
      <w:r w:rsidRPr="00172C9E">
        <w:rPr>
          <w:rFonts w:ascii="Verdana Ref" w:hAnsi="Verdana Ref" w:cs="Tunga"/>
          <w:b/>
          <w:bCs/>
          <w:sz w:val="32"/>
          <w:szCs w:val="32"/>
        </w:rPr>
        <w:t>CLASS POLICIES</w:t>
      </w:r>
      <w:r w:rsidRPr="00172C9E">
        <w:rPr>
          <w:rFonts w:ascii="Verdana Ref" w:hAnsi="Verdana Ref" w:cs="Tunga"/>
          <w:sz w:val="32"/>
          <w:szCs w:val="32"/>
        </w:rPr>
        <w:t>:</w:t>
      </w:r>
    </w:p>
    <w:p w:rsidR="00A53282" w:rsidRDefault="00A53282" w:rsidP="00601C7A">
      <w:pPr>
        <w:rPr>
          <w:rFonts w:ascii="Verdana Ref" w:hAnsi="Verdana Ref" w:cs="Tunga"/>
          <w:sz w:val="20"/>
          <w:szCs w:val="20"/>
        </w:rPr>
      </w:pPr>
    </w:p>
    <w:p w:rsidR="00A53282" w:rsidRPr="00CB3D60" w:rsidRDefault="00A53282" w:rsidP="00601C7A">
      <w:pPr>
        <w:rPr>
          <w:rFonts w:ascii="Verdana Ref" w:hAnsi="Verdana Ref" w:cs="Tunga"/>
          <w:b/>
          <w:sz w:val="20"/>
          <w:szCs w:val="20"/>
        </w:rPr>
      </w:pPr>
      <w:r>
        <w:rPr>
          <w:rFonts w:ascii="Verdana Ref" w:hAnsi="Verdana Ref" w:cs="Tunga"/>
          <w:b/>
          <w:sz w:val="20"/>
          <w:szCs w:val="20"/>
        </w:rPr>
        <w:t>Students with Disabilities:</w:t>
      </w:r>
    </w:p>
    <w:p w:rsidR="00A53282" w:rsidRPr="008D0A92" w:rsidRDefault="00A53282" w:rsidP="008D0A92">
      <w:pPr>
        <w:rPr>
          <w:rFonts w:ascii="Verdana" w:hAnsi="Verdana"/>
          <w:sz w:val="20"/>
          <w:szCs w:val="20"/>
        </w:rPr>
      </w:pPr>
      <w:r w:rsidRPr="008D0A92">
        <w:rPr>
          <w:rFonts w:ascii="Verdana" w:hAnsi="Verdana"/>
          <w:sz w:val="20"/>
          <w:szCs w:val="20"/>
        </w:rPr>
        <w:t>Students with disabilities are responsible for registering with Students with Disabilities Services in order to receive academic accommodations.  SDS encourages students to notify instructors of accommodation requests at least five business days prior to needing the accommodation.  A letter from SDS must accompany this request.</w:t>
      </w:r>
    </w:p>
    <w:p w:rsidR="00A53282" w:rsidRPr="008D0A92" w:rsidRDefault="00A53282" w:rsidP="008D0A92">
      <w:pPr>
        <w:pStyle w:val="ListParagraph"/>
        <w:numPr>
          <w:ilvl w:val="0"/>
          <w:numId w:val="6"/>
        </w:numPr>
        <w:rPr>
          <w:rFonts w:ascii="Verdana" w:hAnsi="Verdana"/>
          <w:sz w:val="20"/>
          <w:szCs w:val="20"/>
        </w:rPr>
      </w:pPr>
      <w:r w:rsidRPr="008D0A92">
        <w:rPr>
          <w:rFonts w:ascii="Verdana" w:hAnsi="Verdana"/>
          <w:sz w:val="20"/>
          <w:szCs w:val="20"/>
        </w:rPr>
        <w:t xml:space="preserve">See Student Responsibilities – </w:t>
      </w:r>
      <w:hyperlink r:id="rId8" w:history="1">
        <w:r w:rsidRPr="00E54D0A">
          <w:rPr>
            <w:rStyle w:val="Hyperlink"/>
            <w:rFonts w:ascii="Verdana" w:hAnsi="Verdana"/>
            <w:sz w:val="20"/>
            <w:szCs w:val="20"/>
          </w:rPr>
          <w:t>http://www.sds.usf.edu/students.asp</w:t>
        </w:r>
      </w:hyperlink>
      <w:r>
        <w:rPr>
          <w:rFonts w:ascii="Verdana" w:hAnsi="Verdana"/>
          <w:sz w:val="20"/>
          <w:szCs w:val="20"/>
        </w:rPr>
        <w:t xml:space="preserve"> </w:t>
      </w:r>
    </w:p>
    <w:p w:rsidR="00A53282" w:rsidRDefault="00A53282" w:rsidP="008D0A92">
      <w:pPr>
        <w:pStyle w:val="ListParagraph"/>
        <w:numPr>
          <w:ilvl w:val="0"/>
          <w:numId w:val="6"/>
        </w:numPr>
        <w:rPr>
          <w:rFonts w:ascii="Verdana" w:hAnsi="Verdana"/>
          <w:sz w:val="20"/>
          <w:szCs w:val="20"/>
        </w:rPr>
      </w:pPr>
      <w:r w:rsidRPr="008D0A92">
        <w:rPr>
          <w:rFonts w:ascii="Verdana" w:hAnsi="Verdana"/>
          <w:sz w:val="20"/>
          <w:szCs w:val="20"/>
        </w:rPr>
        <w:t xml:space="preserve">See Faculty Responsibilities— </w:t>
      </w:r>
      <w:hyperlink r:id="rId9" w:history="1">
        <w:r w:rsidRPr="00E54D0A">
          <w:rPr>
            <w:rStyle w:val="Hyperlink"/>
            <w:rFonts w:ascii="Verdana" w:hAnsi="Verdana"/>
            <w:sz w:val="20"/>
            <w:szCs w:val="20"/>
          </w:rPr>
          <w:t>http://www.sds.usf.edu/faculty.asp</w:t>
        </w:r>
      </w:hyperlink>
      <w:r>
        <w:rPr>
          <w:rFonts w:ascii="Verdana" w:hAnsi="Verdana"/>
          <w:sz w:val="20"/>
          <w:szCs w:val="20"/>
        </w:rPr>
        <w:t xml:space="preserve">  </w:t>
      </w:r>
      <w:r w:rsidRPr="008D0A92">
        <w:rPr>
          <w:rFonts w:ascii="Verdana" w:hAnsi="Verdana"/>
          <w:sz w:val="20"/>
          <w:szCs w:val="20"/>
        </w:rPr>
        <w:t xml:space="preserve"> </w:t>
      </w:r>
    </w:p>
    <w:p w:rsidR="00A53282" w:rsidRPr="00F412CB" w:rsidRDefault="00A53282" w:rsidP="00601C7A">
      <w:pPr>
        <w:pStyle w:val="Heading4"/>
        <w:rPr>
          <w:rFonts w:ascii="Verdana Ref" w:hAnsi="Verdana Ref" w:cs="Tunga"/>
          <w:sz w:val="20"/>
          <w:szCs w:val="20"/>
        </w:rPr>
      </w:pPr>
      <w:r w:rsidRPr="00F412CB">
        <w:rPr>
          <w:rFonts w:ascii="Verdana Ref" w:hAnsi="Verdana Ref" w:cs="Tunga"/>
          <w:bCs w:val="0"/>
          <w:sz w:val="20"/>
          <w:szCs w:val="20"/>
        </w:rPr>
        <w:t>Academic Dishonesty</w:t>
      </w:r>
      <w:r>
        <w:rPr>
          <w:rFonts w:ascii="Verdana Ref" w:hAnsi="Verdana Ref" w:cs="Tunga"/>
          <w:bCs w:val="0"/>
          <w:sz w:val="20"/>
          <w:szCs w:val="20"/>
        </w:rPr>
        <w:t>:</w:t>
      </w:r>
    </w:p>
    <w:p w:rsidR="00A53282" w:rsidRDefault="00A53282" w:rsidP="00601C7A">
      <w:pPr>
        <w:rPr>
          <w:rFonts w:ascii="Verdana Ref" w:hAnsi="Verdana Ref" w:cs="Tunga"/>
          <w:sz w:val="20"/>
          <w:szCs w:val="20"/>
        </w:rPr>
      </w:pPr>
      <w:r w:rsidRPr="009D3C5F">
        <w:rPr>
          <w:rFonts w:ascii="Verdana" w:hAnsi="Verdana"/>
          <w:bCs/>
          <w:sz w:val="20"/>
          <w:szCs w:val="20"/>
        </w:rPr>
        <w:t>Any form of cheating on examinations or plagiarism on assigned papers constitutes unacceptable deceit and dishonesty.  Disruption of the classroom or teaching environment is also unacceptable.  The University of South Florida has very specific policies and procedures regarding academic dishonesty or disruption of academic process.</w:t>
      </w:r>
      <w:r w:rsidRPr="002F79B1">
        <w:rPr>
          <w:rFonts w:ascii="Calibri" w:hAnsi="Calibri"/>
          <w:bCs/>
          <w:sz w:val="20"/>
          <w:szCs w:val="20"/>
        </w:rPr>
        <w:t xml:space="preserve">  </w:t>
      </w:r>
    </w:p>
    <w:p w:rsidR="00A53282" w:rsidRDefault="00A53282" w:rsidP="00601C7A">
      <w:pPr>
        <w:rPr>
          <w:rFonts w:ascii="Verdana Ref" w:hAnsi="Verdana Ref" w:cs="Tunga"/>
          <w:sz w:val="20"/>
          <w:szCs w:val="20"/>
        </w:rPr>
      </w:pPr>
    </w:p>
    <w:p w:rsidR="00A53282" w:rsidRDefault="00A53282" w:rsidP="00601C7A">
      <w:pPr>
        <w:rPr>
          <w:rFonts w:ascii="Verdana Ref" w:hAnsi="Verdana Ref" w:cs="Tunga"/>
          <w:sz w:val="20"/>
          <w:szCs w:val="20"/>
        </w:rPr>
      </w:pPr>
      <w:r>
        <w:rPr>
          <w:rFonts w:ascii="Verdana Ref" w:hAnsi="Verdana Ref" w:cs="Tunga"/>
          <w:sz w:val="20"/>
          <w:szCs w:val="20"/>
        </w:rPr>
        <w:t xml:space="preserve">If you have any questions, please refer to the University’s Undergraduate Academic Dishonesty policy at </w:t>
      </w:r>
    </w:p>
    <w:p w:rsidR="00A53282" w:rsidRPr="008D0A92" w:rsidRDefault="00A53282" w:rsidP="008D0A92">
      <w:pPr>
        <w:numPr>
          <w:ilvl w:val="0"/>
          <w:numId w:val="7"/>
        </w:numPr>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rFonts w:ascii="Verdana" w:hAnsi="Verdana"/>
          <w:bCs/>
          <w:sz w:val="20"/>
          <w:szCs w:val="20"/>
        </w:rPr>
      </w:pPr>
      <w:r w:rsidRPr="008D0A92">
        <w:rPr>
          <w:rFonts w:ascii="Verdana" w:hAnsi="Verdana"/>
          <w:bCs/>
          <w:sz w:val="20"/>
          <w:szCs w:val="20"/>
        </w:rPr>
        <w:t>Procedures for Alleged Academic Dishonesty or Disruption:</w:t>
      </w:r>
    </w:p>
    <w:p w:rsidR="00A53282" w:rsidRPr="008D0A92" w:rsidRDefault="00973792" w:rsidP="008D0A92">
      <w:pPr>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Verdana" w:hAnsi="Verdana"/>
          <w:bCs/>
          <w:sz w:val="20"/>
          <w:szCs w:val="20"/>
        </w:rPr>
      </w:pPr>
      <w:hyperlink r:id="rId10" w:history="1">
        <w:r w:rsidR="00A53282" w:rsidRPr="00E54D0A">
          <w:rPr>
            <w:rStyle w:val="Hyperlink"/>
            <w:rFonts w:ascii="Verdana" w:hAnsi="Verdana"/>
            <w:bCs/>
            <w:sz w:val="20"/>
            <w:szCs w:val="20"/>
          </w:rPr>
          <w:t>http://www.ugs.usf.edu/catalogs/0809/adadap.htm</w:t>
        </w:r>
      </w:hyperlink>
      <w:r w:rsidR="00A53282">
        <w:rPr>
          <w:rFonts w:ascii="Verdana" w:hAnsi="Verdana"/>
          <w:bCs/>
          <w:sz w:val="20"/>
          <w:szCs w:val="20"/>
        </w:rPr>
        <w:t xml:space="preserve"> </w:t>
      </w:r>
      <w:r w:rsidR="00A53282" w:rsidRPr="008D0A92">
        <w:rPr>
          <w:rFonts w:ascii="Verdana" w:hAnsi="Verdana"/>
          <w:bCs/>
          <w:sz w:val="20"/>
          <w:szCs w:val="20"/>
        </w:rPr>
        <w:t xml:space="preserve"> </w:t>
      </w:r>
    </w:p>
    <w:p w:rsidR="00A53282" w:rsidRDefault="00A53282" w:rsidP="008D0A92">
      <w:pPr>
        <w:numPr>
          <w:ilvl w:val="0"/>
          <w:numId w:val="7"/>
        </w:numPr>
        <w:tabs>
          <w:tab w:val="left" w:pos="-9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bCs/>
          <w:sz w:val="20"/>
          <w:szCs w:val="20"/>
        </w:rPr>
      </w:pPr>
      <w:r w:rsidRPr="008D0A92">
        <w:rPr>
          <w:rFonts w:ascii="Verdana" w:hAnsi="Verdana"/>
          <w:bCs/>
          <w:sz w:val="20"/>
          <w:szCs w:val="20"/>
        </w:rPr>
        <w:lastRenderedPageBreak/>
        <w:t xml:space="preserve">Student Academic Grievance Procedures --  </w:t>
      </w:r>
      <w:hyperlink r:id="rId11" w:history="1">
        <w:r w:rsidRPr="008D0A92">
          <w:rPr>
            <w:rStyle w:val="Hyperlink"/>
            <w:rFonts w:ascii="Verdana" w:hAnsi="Verdana"/>
            <w:bCs/>
            <w:sz w:val="20"/>
            <w:szCs w:val="20"/>
          </w:rPr>
          <w:t>http://www.ugs.usf.edu/catalogs/0809/arcsagp.htm</w:t>
        </w:r>
      </w:hyperlink>
      <w:r w:rsidRPr="008D0A92">
        <w:rPr>
          <w:rFonts w:ascii="Verdana" w:hAnsi="Verdana"/>
          <w:bCs/>
          <w:sz w:val="20"/>
          <w:szCs w:val="20"/>
        </w:rPr>
        <w:t xml:space="preserve"> </w:t>
      </w:r>
    </w:p>
    <w:p w:rsidR="000D7D74" w:rsidRDefault="000D7D74" w:rsidP="000D7D74">
      <w:pPr>
        <w:tabs>
          <w:tab w:val="left" w:pos="-9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Cs/>
          <w:sz w:val="20"/>
          <w:szCs w:val="20"/>
        </w:rPr>
      </w:pPr>
    </w:p>
    <w:p w:rsidR="000D7D74" w:rsidRDefault="000D7D74" w:rsidP="000D7D74">
      <w:pPr>
        <w:tabs>
          <w:tab w:val="left" w:pos="-9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Cs/>
          <w:sz w:val="20"/>
          <w:szCs w:val="20"/>
        </w:rPr>
      </w:pPr>
    </w:p>
    <w:p w:rsidR="000D7D74" w:rsidRPr="008D0A92" w:rsidRDefault="000D7D74" w:rsidP="000D7D74">
      <w:pPr>
        <w:tabs>
          <w:tab w:val="left" w:pos="-9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Cs/>
          <w:sz w:val="20"/>
          <w:szCs w:val="20"/>
        </w:rPr>
      </w:pPr>
    </w:p>
    <w:p w:rsidR="00A53282" w:rsidRDefault="00A53282" w:rsidP="00601C7A">
      <w:pPr>
        <w:rPr>
          <w:rFonts w:ascii="Verdana Ref" w:hAnsi="Verdana Ref" w:cs="Tunga"/>
          <w:sz w:val="20"/>
          <w:szCs w:val="20"/>
        </w:rPr>
      </w:pPr>
    </w:p>
    <w:p w:rsidR="00A53282" w:rsidRDefault="00A53282" w:rsidP="007232AD">
      <w:pPr>
        <w:rPr>
          <w:rFonts w:ascii="Verdana Ref" w:hAnsi="Verdana Ref" w:cs="Tunga"/>
          <w:sz w:val="20"/>
          <w:szCs w:val="20"/>
        </w:rPr>
      </w:pPr>
      <w:r w:rsidRPr="007232AD">
        <w:rPr>
          <w:rFonts w:ascii="Verdana Ref" w:hAnsi="Verdana Ref" w:cs="Tunga"/>
          <w:b/>
          <w:sz w:val="20"/>
          <w:szCs w:val="20"/>
        </w:rPr>
        <w:t>Use of plagiarism tracking software</w:t>
      </w:r>
      <w:r>
        <w:rPr>
          <w:rFonts w:ascii="Verdana Ref" w:hAnsi="Verdana Ref" w:cs="Tunga"/>
          <w:sz w:val="20"/>
          <w:szCs w:val="20"/>
        </w:rPr>
        <w:t>:</w:t>
      </w:r>
    </w:p>
    <w:p w:rsidR="00A53282" w:rsidRDefault="00A53282" w:rsidP="007232AD">
      <w:pPr>
        <w:rPr>
          <w:rFonts w:ascii="Verdana Ref" w:hAnsi="Verdana Ref" w:cs="Tunga"/>
          <w:bCs/>
          <w:sz w:val="20"/>
          <w:szCs w:val="20"/>
        </w:rPr>
      </w:pPr>
    </w:p>
    <w:p w:rsidR="00A53282" w:rsidRDefault="00A53282" w:rsidP="007232AD">
      <w:pPr>
        <w:rPr>
          <w:rFonts w:ascii="Verdana Ref" w:hAnsi="Verdana Ref" w:cs="Tunga"/>
          <w:iCs/>
          <w:sz w:val="20"/>
          <w:szCs w:val="20"/>
        </w:rPr>
      </w:pPr>
      <w:r w:rsidRPr="007232AD">
        <w:rPr>
          <w:rFonts w:ascii="Verdana Ref" w:hAnsi="Verdana Ref" w:cs="Tunga"/>
          <w:iCs/>
          <w:sz w:val="20"/>
          <w:szCs w:val="20"/>
        </w:rPr>
        <w:t xml:space="preserve">The University of South Florida has an account with an automated plagiarism detection service which allows instructors to submit student assignments to be checked for plagiarism. I reserve the right to submit assignments to this detection system. Assignments are compared automatically with a huge database of journal articles, web articles, and previously submitted papers. The instructor receives a report showing exactly how a student's paper was plagiarized. </w:t>
      </w:r>
    </w:p>
    <w:p w:rsidR="00A53282" w:rsidRDefault="00A53282" w:rsidP="007232AD">
      <w:pPr>
        <w:rPr>
          <w:rFonts w:ascii="Verdana Ref" w:hAnsi="Verdana Ref" w:cs="Tunga"/>
          <w:iCs/>
          <w:sz w:val="20"/>
          <w:szCs w:val="20"/>
        </w:rPr>
      </w:pPr>
    </w:p>
    <w:p w:rsidR="000D7D74" w:rsidRDefault="000D7D74" w:rsidP="007232AD">
      <w:pPr>
        <w:pBdr>
          <w:top w:val="single" w:sz="6" w:space="1" w:color="auto"/>
          <w:bottom w:val="single" w:sz="6" w:space="1" w:color="auto"/>
        </w:pBdr>
        <w:rPr>
          <w:rFonts w:ascii="Verdana Ref" w:hAnsi="Verdana Ref" w:cs="Tunga"/>
          <w:iCs/>
          <w:sz w:val="20"/>
          <w:szCs w:val="20"/>
        </w:rPr>
      </w:pPr>
    </w:p>
    <w:p w:rsidR="000D7D74" w:rsidRDefault="000D7D74" w:rsidP="007232AD">
      <w:pPr>
        <w:pBdr>
          <w:bottom w:val="single" w:sz="6" w:space="1" w:color="auto"/>
          <w:between w:val="single" w:sz="6" w:space="1" w:color="auto"/>
        </w:pBdr>
        <w:rPr>
          <w:rFonts w:ascii="Verdana Ref" w:hAnsi="Verdana Ref" w:cs="Tunga"/>
          <w:iCs/>
          <w:sz w:val="20"/>
          <w:szCs w:val="20"/>
        </w:rPr>
      </w:pPr>
    </w:p>
    <w:p w:rsidR="00A53282" w:rsidRDefault="00A53282" w:rsidP="00172C9E">
      <w:pPr>
        <w:pStyle w:val="BodyTextIndent"/>
        <w:ind w:left="0" w:firstLine="0"/>
        <w:rPr>
          <w:b/>
          <w:u w:val="single"/>
        </w:rPr>
      </w:pPr>
    </w:p>
    <w:p w:rsidR="00A53282" w:rsidRDefault="00A53282" w:rsidP="00172C9E">
      <w:pPr>
        <w:pStyle w:val="BodyTextIndent"/>
        <w:ind w:left="0" w:firstLine="0"/>
        <w:rPr>
          <w:b/>
          <w:u w:val="single"/>
        </w:rPr>
      </w:pPr>
      <w:r>
        <w:rPr>
          <w:b/>
          <w:u w:val="single"/>
        </w:rPr>
        <w:t xml:space="preserve">COURSE OUTLINE </w:t>
      </w:r>
    </w:p>
    <w:p w:rsidR="00E13845" w:rsidRDefault="00E13845" w:rsidP="00172C9E">
      <w:pPr>
        <w:pStyle w:val="BodyTextIndent"/>
        <w:ind w:left="0" w:firstLine="0"/>
        <w:rPr>
          <w:b/>
          <w:u w:val="single"/>
        </w:rPr>
      </w:pPr>
    </w:p>
    <w:p w:rsidR="00E13845" w:rsidRPr="00E13845" w:rsidRDefault="00E13845" w:rsidP="00172C9E">
      <w:pPr>
        <w:pStyle w:val="BodyTextIndent"/>
        <w:ind w:left="0" w:firstLine="0"/>
        <w:rPr>
          <w:b/>
        </w:rPr>
      </w:pPr>
      <w:r>
        <w:rPr>
          <w:b/>
        </w:rPr>
        <w:t xml:space="preserve">With the exception of books and direct linked articles below, the articles listed below can be found on the class website under the “FILES” tab, and then by week.  You may need to create a </w:t>
      </w:r>
      <w:proofErr w:type="spellStart"/>
      <w:r>
        <w:rPr>
          <w:b/>
        </w:rPr>
        <w:t>google</w:t>
      </w:r>
      <w:proofErr w:type="spellEnd"/>
      <w:r>
        <w:rPr>
          <w:b/>
        </w:rPr>
        <w:t xml:space="preserve"> account to download and use some of these files. </w:t>
      </w:r>
    </w:p>
    <w:p w:rsidR="00A53282" w:rsidRDefault="00A53282" w:rsidP="00172C9E">
      <w:pPr>
        <w:pStyle w:val="BodyTextIndent"/>
        <w:ind w:left="0" w:firstLine="0"/>
        <w:rPr>
          <w:b/>
          <w:u w:val="single"/>
        </w:rPr>
      </w:pPr>
    </w:p>
    <w:p w:rsidR="00A53282" w:rsidRDefault="00A53282" w:rsidP="00172C9E">
      <w:pPr>
        <w:pStyle w:val="BodyTextIndent"/>
        <w:ind w:left="0" w:firstLine="0"/>
      </w:pPr>
      <w:r>
        <w:t>August</w:t>
      </w:r>
    </w:p>
    <w:p w:rsidR="00A53282" w:rsidRPr="009C443A" w:rsidRDefault="00A53282" w:rsidP="00D7041A">
      <w:pPr>
        <w:pStyle w:val="BodyTextIndent"/>
        <w:numPr>
          <w:ilvl w:val="0"/>
          <w:numId w:val="20"/>
        </w:numPr>
        <w:rPr>
          <w:b/>
        </w:rPr>
      </w:pPr>
      <w:r w:rsidRPr="009C443A">
        <w:rPr>
          <w:b/>
        </w:rPr>
        <w:t>Introduction</w:t>
      </w:r>
      <w:r w:rsidR="002155EC" w:rsidRPr="009C443A">
        <w:rPr>
          <w:b/>
        </w:rPr>
        <w:t>, Review of Syllabus and Course.</w:t>
      </w:r>
    </w:p>
    <w:p w:rsidR="00A53282" w:rsidRDefault="00A53282" w:rsidP="0008727B">
      <w:pPr>
        <w:pStyle w:val="BodyTextIndent"/>
        <w:ind w:firstLine="0"/>
      </w:pPr>
    </w:p>
    <w:p w:rsidR="00A53282" w:rsidRDefault="00A53282" w:rsidP="00172C9E">
      <w:pPr>
        <w:pStyle w:val="BodyTextIndent"/>
        <w:ind w:left="0" w:firstLine="0"/>
      </w:pPr>
      <w:r>
        <w:t>September</w:t>
      </w:r>
    </w:p>
    <w:p w:rsidR="00A53282" w:rsidRDefault="00A53282" w:rsidP="00172C9E">
      <w:pPr>
        <w:pStyle w:val="BodyTextIndent"/>
        <w:ind w:left="0" w:firstLine="0"/>
      </w:pPr>
    </w:p>
    <w:p w:rsidR="002155EC" w:rsidRDefault="00A53282" w:rsidP="002155EC">
      <w:pPr>
        <w:ind w:left="720"/>
      </w:pPr>
      <w:r>
        <w:t>04</w:t>
      </w:r>
      <w:r>
        <w:tab/>
      </w:r>
      <w:r w:rsidR="002155EC" w:rsidRPr="009C443A">
        <w:rPr>
          <w:b/>
        </w:rPr>
        <w:t>Green Criminology: Background and Theor</w:t>
      </w:r>
      <w:r w:rsidR="002155EC">
        <w:t>y</w:t>
      </w:r>
    </w:p>
    <w:p w:rsidR="002155EC" w:rsidRDefault="002155EC" w:rsidP="002155EC">
      <w:pPr>
        <w:ind w:left="720"/>
      </w:pPr>
    </w:p>
    <w:p w:rsidR="002155EC" w:rsidRDefault="002155EC" w:rsidP="002155EC">
      <w:pPr>
        <w:rPr>
          <w:rFonts w:asciiTheme="minorHAnsi" w:hAnsiTheme="minorHAnsi"/>
        </w:rPr>
      </w:pPr>
      <w:r w:rsidRPr="000346A1">
        <w:rPr>
          <w:rFonts w:asciiTheme="minorHAnsi" w:hAnsiTheme="minorHAnsi"/>
        </w:rPr>
        <w:t xml:space="preserve">Lynch, Michael J. 1990.  The Greening of Criminology: A Perspective on the 1990s.  The Critical </w:t>
      </w:r>
      <w:proofErr w:type="gramStart"/>
      <w:r w:rsidRPr="000346A1">
        <w:rPr>
          <w:rFonts w:asciiTheme="minorHAnsi" w:hAnsiTheme="minorHAnsi"/>
        </w:rPr>
        <w:t>Criminologist  2,3</w:t>
      </w:r>
      <w:proofErr w:type="gramEnd"/>
      <w:r w:rsidRPr="000346A1">
        <w:rPr>
          <w:rFonts w:asciiTheme="minorHAnsi" w:hAnsiTheme="minorHAnsi"/>
        </w:rPr>
        <w:t xml:space="preserve">: 3-4, 11-12. </w:t>
      </w:r>
    </w:p>
    <w:p w:rsidR="002155EC" w:rsidRDefault="002155EC" w:rsidP="002155EC">
      <w:pPr>
        <w:rPr>
          <w:rFonts w:asciiTheme="minorHAnsi" w:hAnsiTheme="minorHAnsi"/>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2E3E79">
        <w:rPr>
          <w:rFonts w:asciiTheme="minorHAnsi" w:hAnsiTheme="minorHAnsi"/>
          <w:snapToGrid w:val="0"/>
        </w:rPr>
        <w:t xml:space="preserve">South, Nigel. 1998. A Green Field for Criminology? </w:t>
      </w:r>
      <w:proofErr w:type="gramStart"/>
      <w:r w:rsidRPr="002E3E79">
        <w:rPr>
          <w:rFonts w:asciiTheme="minorHAnsi" w:hAnsiTheme="minorHAnsi"/>
          <w:snapToGrid w:val="0"/>
        </w:rPr>
        <w:t>A Proposal for a Perspective.</w:t>
      </w:r>
      <w:proofErr w:type="gramEnd"/>
      <w:r w:rsidRPr="002E3E79">
        <w:rPr>
          <w:rFonts w:asciiTheme="minorHAnsi" w:hAnsiTheme="minorHAnsi"/>
          <w:snapToGrid w:val="0"/>
        </w:rPr>
        <w:t xml:space="preserve"> Theoretical </w:t>
      </w:r>
      <w:proofErr w:type="gramStart"/>
      <w:r w:rsidRPr="002E3E79">
        <w:rPr>
          <w:rFonts w:asciiTheme="minorHAnsi" w:hAnsiTheme="minorHAnsi"/>
          <w:snapToGrid w:val="0"/>
        </w:rPr>
        <w:t>Criminology  2</w:t>
      </w:r>
      <w:proofErr w:type="gramEnd"/>
      <w:r w:rsidRPr="002E3E79">
        <w:rPr>
          <w:rFonts w:asciiTheme="minorHAnsi" w:hAnsiTheme="minorHAnsi"/>
          <w:snapToGrid w:val="0"/>
        </w:rPr>
        <w:t>, 2: 211-233.</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0346A1">
        <w:rPr>
          <w:rFonts w:asciiTheme="minorHAnsi" w:hAnsiTheme="minorHAnsi"/>
          <w:snapToGrid w:val="0"/>
        </w:rPr>
        <w:t xml:space="preserve">Lynch, Michael J., and Paul B. </w:t>
      </w:r>
      <w:proofErr w:type="spellStart"/>
      <w:r w:rsidRPr="000346A1">
        <w:rPr>
          <w:rFonts w:asciiTheme="minorHAnsi" w:hAnsiTheme="minorHAnsi"/>
          <w:snapToGrid w:val="0"/>
        </w:rPr>
        <w:t>Stretesky</w:t>
      </w:r>
      <w:proofErr w:type="spellEnd"/>
      <w:r w:rsidRPr="000346A1">
        <w:rPr>
          <w:rFonts w:asciiTheme="minorHAnsi" w:hAnsiTheme="minorHAnsi"/>
          <w:snapToGrid w:val="0"/>
        </w:rPr>
        <w:t xml:space="preserve">. 2011. “Similarities </w:t>
      </w:r>
      <w:proofErr w:type="gramStart"/>
      <w:r w:rsidRPr="000346A1">
        <w:rPr>
          <w:rFonts w:asciiTheme="minorHAnsi" w:hAnsiTheme="minorHAnsi"/>
          <w:snapToGrid w:val="0"/>
        </w:rPr>
        <w:t>Between</w:t>
      </w:r>
      <w:proofErr w:type="gramEnd"/>
      <w:r w:rsidRPr="000346A1">
        <w:rPr>
          <w:rFonts w:asciiTheme="minorHAnsi" w:hAnsiTheme="minorHAnsi"/>
          <w:snapToGrid w:val="0"/>
        </w:rPr>
        <w:t xml:space="preserve"> Green Criminology and Green Science: Toward of Typology of Green Criminology.”</w:t>
      </w:r>
      <w:r>
        <w:rPr>
          <w:rFonts w:asciiTheme="minorHAnsi" w:hAnsiTheme="minorHAnsi"/>
          <w:snapToGrid w:val="0"/>
        </w:rPr>
        <w:t xml:space="preserve"> </w:t>
      </w:r>
      <w:r w:rsidRPr="000346A1">
        <w:rPr>
          <w:rFonts w:asciiTheme="minorHAnsi" w:hAnsiTheme="minorHAnsi"/>
          <w:i/>
          <w:snapToGrid w:val="0"/>
        </w:rPr>
        <w:t xml:space="preserve">International Journal of Comparative and Applied Criminal </w:t>
      </w:r>
      <w:proofErr w:type="gramStart"/>
      <w:r w:rsidRPr="000346A1">
        <w:rPr>
          <w:rFonts w:asciiTheme="minorHAnsi" w:hAnsiTheme="minorHAnsi"/>
          <w:i/>
          <w:snapToGrid w:val="0"/>
        </w:rPr>
        <w:t>Justice</w:t>
      </w:r>
      <w:r w:rsidRPr="000346A1">
        <w:rPr>
          <w:rFonts w:asciiTheme="minorHAnsi" w:hAnsiTheme="minorHAnsi"/>
          <w:snapToGrid w:val="0"/>
        </w:rPr>
        <w:t xml:space="preserve">  35,4</w:t>
      </w:r>
      <w:proofErr w:type="gramEnd"/>
      <w:r w:rsidRPr="000346A1">
        <w:rPr>
          <w:rFonts w:asciiTheme="minorHAnsi" w:hAnsiTheme="minorHAnsi"/>
          <w:snapToGrid w:val="0"/>
        </w:rPr>
        <w:t>: 293-306.</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0346A1">
        <w:rPr>
          <w:rFonts w:asciiTheme="minorHAnsi" w:hAnsiTheme="minorHAnsi"/>
          <w:snapToGrid w:val="0"/>
        </w:rPr>
        <w:t xml:space="preserve">Lynch, Michael J., and Paul B. </w:t>
      </w:r>
      <w:proofErr w:type="spellStart"/>
      <w:r w:rsidRPr="000346A1">
        <w:rPr>
          <w:rFonts w:asciiTheme="minorHAnsi" w:hAnsiTheme="minorHAnsi"/>
          <w:snapToGrid w:val="0"/>
        </w:rPr>
        <w:t>Stretesky</w:t>
      </w:r>
      <w:proofErr w:type="spellEnd"/>
      <w:r w:rsidRPr="000346A1">
        <w:rPr>
          <w:rFonts w:asciiTheme="minorHAnsi" w:hAnsiTheme="minorHAnsi"/>
          <w:snapToGrid w:val="0"/>
        </w:rPr>
        <w:t xml:space="preserve">. 2003. “The Meaning of Green: Contrasting Criminological Perspectives.” </w:t>
      </w:r>
      <w:proofErr w:type="gramStart"/>
      <w:r w:rsidRPr="000346A1">
        <w:rPr>
          <w:rFonts w:asciiTheme="minorHAnsi" w:hAnsiTheme="minorHAnsi"/>
          <w:i/>
          <w:snapToGrid w:val="0"/>
        </w:rPr>
        <w:t>Theoretical Criminology</w:t>
      </w:r>
      <w:r w:rsidRPr="000346A1">
        <w:rPr>
          <w:rFonts w:asciiTheme="minorHAnsi" w:hAnsiTheme="minorHAnsi"/>
          <w:snapToGrid w:val="0"/>
        </w:rPr>
        <w:t>.</w:t>
      </w:r>
      <w:proofErr w:type="gramEnd"/>
      <w:r w:rsidRPr="000346A1">
        <w:rPr>
          <w:rFonts w:asciiTheme="minorHAnsi" w:hAnsiTheme="minorHAnsi"/>
          <w:snapToGrid w:val="0"/>
        </w:rPr>
        <w:t xml:space="preserve">  7</w:t>
      </w:r>
      <w:proofErr w:type="gramStart"/>
      <w:r w:rsidRPr="000346A1">
        <w:rPr>
          <w:rFonts w:asciiTheme="minorHAnsi" w:hAnsiTheme="minorHAnsi"/>
          <w:snapToGrid w:val="0"/>
        </w:rPr>
        <w:t>,2</w:t>
      </w:r>
      <w:proofErr w:type="gramEnd"/>
      <w:r w:rsidRPr="000346A1">
        <w:rPr>
          <w:rFonts w:asciiTheme="minorHAnsi" w:hAnsiTheme="minorHAnsi"/>
          <w:snapToGrid w:val="0"/>
        </w:rPr>
        <w:t>: 217-238.</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cs="Arial"/>
          <w:bCs/>
          <w:snapToGrid w:val="0"/>
        </w:rPr>
      </w:pPr>
      <w:r w:rsidRPr="000346A1">
        <w:rPr>
          <w:rFonts w:asciiTheme="minorHAnsi" w:hAnsiTheme="minorHAnsi"/>
          <w:snapToGrid w:val="0"/>
        </w:rPr>
        <w:t xml:space="preserve">Lynch, Michael J. and Paul B. </w:t>
      </w:r>
      <w:proofErr w:type="spellStart"/>
      <w:r w:rsidRPr="000346A1">
        <w:rPr>
          <w:rFonts w:asciiTheme="minorHAnsi" w:hAnsiTheme="minorHAnsi"/>
          <w:snapToGrid w:val="0"/>
        </w:rPr>
        <w:t>Stretesky</w:t>
      </w:r>
      <w:proofErr w:type="spellEnd"/>
      <w:r w:rsidRPr="000346A1">
        <w:rPr>
          <w:rFonts w:asciiTheme="minorHAnsi" w:hAnsiTheme="minorHAnsi"/>
          <w:snapToGrid w:val="0"/>
        </w:rPr>
        <w:t xml:space="preserve">. 2001. “Toxic Crimes: </w:t>
      </w:r>
      <w:r w:rsidRPr="000346A1">
        <w:rPr>
          <w:rFonts w:asciiTheme="minorHAnsi" w:hAnsiTheme="minorHAnsi" w:cs="Arial"/>
          <w:bCs/>
          <w:snapToGrid w:val="0"/>
        </w:rPr>
        <w:t xml:space="preserve">Examining Corporate Victimization of the General Public Employing Medical and Epidemiological Evidence.”  </w:t>
      </w:r>
      <w:proofErr w:type="gramStart"/>
      <w:r w:rsidRPr="000346A1">
        <w:rPr>
          <w:rFonts w:asciiTheme="minorHAnsi" w:hAnsiTheme="minorHAnsi" w:cs="Arial"/>
          <w:bCs/>
          <w:i/>
          <w:snapToGrid w:val="0"/>
        </w:rPr>
        <w:t>Critical Criminology</w:t>
      </w:r>
      <w:r w:rsidRPr="000346A1">
        <w:rPr>
          <w:rFonts w:asciiTheme="minorHAnsi" w:hAnsiTheme="minorHAnsi" w:cs="Arial"/>
          <w:bCs/>
          <w:snapToGrid w:val="0"/>
        </w:rPr>
        <w:t>.</w:t>
      </w:r>
      <w:proofErr w:type="gramEnd"/>
      <w:r w:rsidRPr="000346A1">
        <w:rPr>
          <w:rFonts w:asciiTheme="minorHAnsi" w:hAnsiTheme="minorHAnsi" w:cs="Arial"/>
          <w:bCs/>
          <w:snapToGrid w:val="0"/>
        </w:rPr>
        <w:t xml:space="preserve"> 10</w:t>
      </w:r>
      <w:proofErr w:type="gramStart"/>
      <w:r w:rsidRPr="000346A1">
        <w:rPr>
          <w:rFonts w:asciiTheme="minorHAnsi" w:hAnsiTheme="minorHAnsi" w:cs="Arial"/>
          <w:bCs/>
          <w:snapToGrid w:val="0"/>
        </w:rPr>
        <w:t>,3</w:t>
      </w:r>
      <w:proofErr w:type="gramEnd"/>
      <w:r w:rsidRPr="000346A1">
        <w:rPr>
          <w:rFonts w:asciiTheme="minorHAnsi" w:hAnsiTheme="minorHAnsi" w:cs="Arial"/>
          <w:bCs/>
          <w:snapToGrid w:val="0"/>
        </w:rPr>
        <w:t xml:space="preserve"> 153-172.</w:t>
      </w:r>
    </w:p>
    <w:p w:rsidR="00E74CC8" w:rsidRPr="000346A1" w:rsidRDefault="00E74CC8"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cs="Arial"/>
          <w:bCs/>
          <w:snapToGrid w:val="0"/>
        </w:rPr>
      </w:pPr>
    </w:p>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Pr="009C443A" w:rsidRDefault="002155EC" w:rsidP="002155EC">
      <w:pPr>
        <w:rPr>
          <w:b/>
        </w:rPr>
      </w:pPr>
      <w:r>
        <w:tab/>
      </w:r>
      <w:r w:rsidRPr="009C443A">
        <w:rPr>
          <w:b/>
        </w:rPr>
        <w:t>11</w:t>
      </w:r>
      <w:r w:rsidRPr="009C443A">
        <w:rPr>
          <w:b/>
        </w:rPr>
        <w:tab/>
        <w:t xml:space="preserve">Green Criminology: Background and Theory, </w:t>
      </w:r>
      <w:proofErr w:type="spellStart"/>
      <w:r w:rsidRPr="009C443A">
        <w:rPr>
          <w:b/>
        </w:rPr>
        <w:t>Con’t</w:t>
      </w:r>
      <w:proofErr w:type="spellEnd"/>
    </w:p>
    <w:p w:rsidR="002155EC" w:rsidRDefault="002155EC" w:rsidP="002155EC"/>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roofErr w:type="spellStart"/>
      <w:r w:rsidRPr="000346A1">
        <w:rPr>
          <w:rFonts w:asciiTheme="minorHAnsi" w:hAnsiTheme="minorHAnsi"/>
          <w:snapToGrid w:val="0"/>
        </w:rPr>
        <w:t>Beirne</w:t>
      </w:r>
      <w:proofErr w:type="spellEnd"/>
      <w:r w:rsidRPr="000346A1">
        <w:rPr>
          <w:rFonts w:asciiTheme="minorHAnsi" w:hAnsiTheme="minorHAnsi"/>
          <w:snapToGrid w:val="0"/>
        </w:rPr>
        <w:t xml:space="preserve">, Piers. 1999.  </w:t>
      </w:r>
      <w:proofErr w:type="gramStart"/>
      <w:r w:rsidRPr="000346A1">
        <w:rPr>
          <w:rFonts w:asciiTheme="minorHAnsi" w:hAnsiTheme="minorHAnsi"/>
          <w:snapToGrid w:val="0"/>
        </w:rPr>
        <w:t>For</w:t>
      </w:r>
      <w:proofErr w:type="gramEnd"/>
      <w:r w:rsidRPr="000346A1">
        <w:rPr>
          <w:rFonts w:asciiTheme="minorHAnsi" w:hAnsiTheme="minorHAnsi"/>
          <w:snapToGrid w:val="0"/>
        </w:rPr>
        <w:t xml:space="preserve"> a </w:t>
      </w:r>
      <w:proofErr w:type="spellStart"/>
      <w:r w:rsidRPr="000346A1">
        <w:rPr>
          <w:rFonts w:asciiTheme="minorHAnsi" w:hAnsiTheme="minorHAnsi"/>
          <w:snapToGrid w:val="0"/>
        </w:rPr>
        <w:t>Nonspeciesist</w:t>
      </w:r>
      <w:proofErr w:type="spellEnd"/>
      <w:r w:rsidRPr="000346A1">
        <w:rPr>
          <w:rFonts w:asciiTheme="minorHAnsi" w:hAnsiTheme="minorHAnsi"/>
          <w:snapToGrid w:val="0"/>
        </w:rPr>
        <w:t xml:space="preserve"> Criminology: Animal Abuse as an Object of Study.  </w:t>
      </w:r>
      <w:proofErr w:type="gramStart"/>
      <w:r w:rsidRPr="000346A1">
        <w:rPr>
          <w:rFonts w:asciiTheme="minorHAnsi" w:hAnsiTheme="minorHAnsi"/>
          <w:snapToGrid w:val="0"/>
        </w:rPr>
        <w:t>Criminology  37,1</w:t>
      </w:r>
      <w:proofErr w:type="gramEnd"/>
      <w:r w:rsidRPr="000346A1">
        <w:rPr>
          <w:rFonts w:asciiTheme="minorHAnsi" w:hAnsiTheme="minorHAnsi"/>
          <w:snapToGrid w:val="0"/>
        </w:rPr>
        <w:t>: 117-147.</w:t>
      </w:r>
    </w:p>
    <w:p w:rsidR="002155EC" w:rsidRDefault="002155EC" w:rsidP="002155EC"/>
    <w:p w:rsidR="002155EC" w:rsidRPr="000346A1" w:rsidRDefault="002155EC" w:rsidP="00215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rPr>
      </w:pPr>
      <w:r w:rsidRPr="000346A1">
        <w:rPr>
          <w:rFonts w:asciiTheme="minorHAnsi" w:hAnsiTheme="minorHAnsi"/>
          <w:snapToGrid w:val="0"/>
        </w:rPr>
        <w:t xml:space="preserve">Lynch, Michael J., and Paul B. </w:t>
      </w:r>
      <w:proofErr w:type="spellStart"/>
      <w:r w:rsidRPr="000346A1">
        <w:rPr>
          <w:rFonts w:asciiTheme="minorHAnsi" w:hAnsiTheme="minorHAnsi"/>
          <w:snapToGrid w:val="0"/>
        </w:rPr>
        <w:t>Stretesky</w:t>
      </w:r>
      <w:proofErr w:type="spellEnd"/>
      <w:r w:rsidRPr="000346A1">
        <w:rPr>
          <w:rFonts w:asciiTheme="minorHAnsi" w:hAnsiTheme="minorHAnsi"/>
          <w:snapToGrid w:val="0"/>
        </w:rPr>
        <w:t xml:space="preserve">. (2012). “Native Americans, Social and Environmental Justice: Implications for Criminology.”  </w:t>
      </w:r>
      <w:r w:rsidRPr="000346A1">
        <w:rPr>
          <w:rFonts w:asciiTheme="minorHAnsi" w:hAnsiTheme="minorHAnsi"/>
          <w:i/>
          <w:snapToGrid w:val="0"/>
        </w:rPr>
        <w:t>Social Justice</w:t>
      </w:r>
      <w:r w:rsidRPr="000346A1">
        <w:rPr>
          <w:rFonts w:asciiTheme="minorHAnsi" w:hAnsiTheme="minorHAnsi"/>
          <w:snapToGrid w:val="0"/>
        </w:rPr>
        <w:t xml:space="preserve"> 38, 3: 34-54.  </w:t>
      </w:r>
    </w:p>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rPr>
          <w:rFonts w:asciiTheme="minorHAnsi" w:hAnsiTheme="minorHAnsi"/>
          <w:snapToGrid w:val="0"/>
        </w:rPr>
      </w:pPr>
    </w:p>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roofErr w:type="gramStart"/>
      <w:r w:rsidRPr="000346A1">
        <w:rPr>
          <w:rFonts w:asciiTheme="minorHAnsi" w:hAnsiTheme="minorHAnsi"/>
          <w:snapToGrid w:val="0"/>
        </w:rPr>
        <w:t xml:space="preserve">Long, Michael A., Paul B. </w:t>
      </w:r>
      <w:proofErr w:type="spellStart"/>
      <w:r w:rsidRPr="000346A1">
        <w:rPr>
          <w:rFonts w:asciiTheme="minorHAnsi" w:hAnsiTheme="minorHAnsi"/>
          <w:snapToGrid w:val="0"/>
        </w:rPr>
        <w:t>Stretesky</w:t>
      </w:r>
      <w:proofErr w:type="spellEnd"/>
      <w:r w:rsidRPr="000346A1">
        <w:rPr>
          <w:rFonts w:asciiTheme="minorHAnsi" w:hAnsiTheme="minorHAnsi"/>
          <w:snapToGrid w:val="0"/>
        </w:rPr>
        <w:t>, Michael J. Lynch and Emily Fenwick.</w:t>
      </w:r>
      <w:proofErr w:type="gramEnd"/>
      <w:r w:rsidRPr="000346A1">
        <w:rPr>
          <w:rFonts w:asciiTheme="minorHAnsi" w:hAnsiTheme="minorHAnsi"/>
          <w:snapToGrid w:val="0"/>
        </w:rPr>
        <w:t xml:space="preserve"> 2012. “Crime in the Coal Industry: Implications for Green Criminology and Treadmill of Production Theory.”   </w:t>
      </w:r>
      <w:r w:rsidRPr="000346A1">
        <w:rPr>
          <w:rFonts w:asciiTheme="minorHAnsi" w:hAnsiTheme="minorHAnsi"/>
          <w:i/>
          <w:snapToGrid w:val="0"/>
        </w:rPr>
        <w:t xml:space="preserve">Organization &amp; </w:t>
      </w:r>
      <w:proofErr w:type="gramStart"/>
      <w:r w:rsidRPr="000346A1">
        <w:rPr>
          <w:rFonts w:asciiTheme="minorHAnsi" w:hAnsiTheme="minorHAnsi"/>
          <w:i/>
          <w:snapToGrid w:val="0"/>
        </w:rPr>
        <w:t>Environment</w:t>
      </w:r>
      <w:r w:rsidRPr="000346A1">
        <w:rPr>
          <w:rFonts w:asciiTheme="minorHAnsi" w:hAnsiTheme="minorHAnsi"/>
          <w:snapToGrid w:val="0"/>
        </w:rPr>
        <w:t xml:space="preserve">  25,3</w:t>
      </w:r>
      <w:proofErr w:type="gramEnd"/>
      <w:r w:rsidRPr="000346A1">
        <w:rPr>
          <w:rFonts w:asciiTheme="minorHAnsi" w:hAnsiTheme="minorHAnsi"/>
          <w:snapToGrid w:val="0"/>
        </w:rPr>
        <w:t xml:space="preserve">:  299-316.  </w:t>
      </w:r>
    </w:p>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0346A1">
        <w:rPr>
          <w:rFonts w:asciiTheme="minorHAnsi" w:hAnsiTheme="minorHAnsi"/>
          <w:snapToGrid w:val="0"/>
        </w:rPr>
        <w:t>Walters, Reece. 2010. Toxic Atmospheres Air Pollution, Trade and the Politics of Regulation. Critical Criminology, 18</w:t>
      </w:r>
      <w:proofErr w:type="gramStart"/>
      <w:r w:rsidRPr="000346A1">
        <w:rPr>
          <w:rFonts w:asciiTheme="minorHAnsi" w:hAnsiTheme="minorHAnsi"/>
          <w:snapToGrid w:val="0"/>
        </w:rPr>
        <w:t>,4</w:t>
      </w:r>
      <w:proofErr w:type="gramEnd"/>
      <w:r w:rsidRPr="000346A1">
        <w:rPr>
          <w:rFonts w:asciiTheme="minorHAnsi" w:hAnsiTheme="minorHAnsi"/>
          <w:snapToGrid w:val="0"/>
        </w:rPr>
        <w:t>: 307-323.</w:t>
      </w:r>
    </w:p>
    <w:p w:rsidR="002155EC" w:rsidRPr="000346A1" w:rsidRDefault="002155EC" w:rsidP="002155EC">
      <w:pPr>
        <w:widowControl w:val="0"/>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0346A1">
        <w:rPr>
          <w:rFonts w:asciiTheme="minorHAnsi" w:hAnsiTheme="minorHAnsi"/>
          <w:snapToGrid w:val="0"/>
        </w:rPr>
        <w:t>Walters, Reece. 2006.  Crime, Bio-Agriculture and the Exploitation of Hunger. British Journal of Criminology, 46, 1: 26-45</w:t>
      </w:r>
      <w:r>
        <w:rPr>
          <w:snapToGrid w:val="0"/>
        </w:rPr>
        <w:t>.</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Pr="009C443A"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18</w:t>
      </w:r>
      <w:r w:rsidRPr="009C443A">
        <w:rPr>
          <w:b/>
          <w:snapToGrid w:val="0"/>
        </w:rPr>
        <w:tab/>
        <w:t>Types of Green Crimes, Examples</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roofErr w:type="gramStart"/>
      <w:r>
        <w:rPr>
          <w:snapToGrid w:val="0"/>
        </w:rPr>
        <w:t>N</w:t>
      </w:r>
      <w:r w:rsidRPr="000346A1">
        <w:rPr>
          <w:rFonts w:asciiTheme="minorHAnsi" w:hAnsiTheme="minorHAnsi"/>
          <w:snapToGrid w:val="0"/>
        </w:rPr>
        <w:t xml:space="preserve">goc, </w:t>
      </w:r>
      <w:proofErr w:type="spellStart"/>
      <w:r w:rsidRPr="000346A1">
        <w:rPr>
          <w:rFonts w:asciiTheme="minorHAnsi" w:hAnsiTheme="minorHAnsi"/>
          <w:snapToGrid w:val="0"/>
        </w:rPr>
        <w:t>Anh</w:t>
      </w:r>
      <w:proofErr w:type="spellEnd"/>
      <w:r w:rsidRPr="000346A1">
        <w:rPr>
          <w:rFonts w:asciiTheme="minorHAnsi" w:hAnsiTheme="minorHAnsi"/>
          <w:snapToGrid w:val="0"/>
        </w:rPr>
        <w:t xml:space="preserve"> Cao and Tanya Wyatt.</w:t>
      </w:r>
      <w:proofErr w:type="gramEnd"/>
      <w:r w:rsidRPr="000346A1">
        <w:rPr>
          <w:rFonts w:asciiTheme="minorHAnsi" w:hAnsiTheme="minorHAnsi"/>
          <w:snapToGrid w:val="0"/>
        </w:rPr>
        <w:t xml:space="preserve"> 2013. A Green Criminological Explanation of Illegal Wildlife Trade in Vietnam.  Asian Journal of </w:t>
      </w:r>
      <w:proofErr w:type="gramStart"/>
      <w:r w:rsidRPr="000346A1">
        <w:rPr>
          <w:rFonts w:asciiTheme="minorHAnsi" w:hAnsiTheme="minorHAnsi"/>
          <w:snapToGrid w:val="0"/>
        </w:rPr>
        <w:t>Criminology  8</w:t>
      </w:r>
      <w:proofErr w:type="gramEnd"/>
      <w:r w:rsidRPr="000346A1">
        <w:rPr>
          <w:rFonts w:asciiTheme="minorHAnsi" w:hAnsiTheme="minorHAnsi"/>
          <w:snapToGrid w:val="0"/>
        </w:rPr>
        <w:t xml:space="preserve">: 129-142. </w:t>
      </w:r>
      <w:r w:rsidRPr="000346A1">
        <w:rPr>
          <w:rFonts w:asciiTheme="minorHAnsi" w:hAnsiTheme="minorHAnsi"/>
          <w:snapToGrid w:val="0"/>
        </w:rPr>
        <w:tab/>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0346A1">
        <w:rPr>
          <w:rFonts w:asciiTheme="minorHAnsi" w:hAnsiTheme="minorHAnsi"/>
          <w:snapToGrid w:val="0"/>
        </w:rPr>
        <w:t xml:space="preserve">Wyatt, Tanya. 2013. </w:t>
      </w:r>
      <w:proofErr w:type="gramStart"/>
      <w:r w:rsidRPr="000346A1">
        <w:rPr>
          <w:rFonts w:asciiTheme="minorHAnsi" w:hAnsiTheme="minorHAnsi"/>
          <w:snapToGrid w:val="0"/>
        </w:rPr>
        <w:t>Fro</w:t>
      </w:r>
      <w:r>
        <w:rPr>
          <w:rFonts w:asciiTheme="minorHAnsi" w:hAnsiTheme="minorHAnsi"/>
          <w:snapToGrid w:val="0"/>
        </w:rPr>
        <w:t>m</w:t>
      </w:r>
      <w:proofErr w:type="gramEnd"/>
      <w:r w:rsidRPr="000346A1">
        <w:rPr>
          <w:rFonts w:asciiTheme="minorHAnsi" w:hAnsiTheme="minorHAnsi"/>
          <w:snapToGrid w:val="0"/>
        </w:rPr>
        <w:t xml:space="preserve"> the </w:t>
      </w:r>
      <w:proofErr w:type="spellStart"/>
      <w:r w:rsidRPr="000346A1">
        <w:rPr>
          <w:rFonts w:asciiTheme="minorHAnsi" w:hAnsiTheme="minorHAnsi"/>
          <w:snapToGrid w:val="0"/>
        </w:rPr>
        <w:t>Cardaman</w:t>
      </w:r>
      <w:proofErr w:type="spellEnd"/>
      <w:r w:rsidRPr="000346A1">
        <w:rPr>
          <w:rFonts w:asciiTheme="minorHAnsi" w:hAnsiTheme="minorHAnsi"/>
          <w:snapToGrid w:val="0"/>
        </w:rPr>
        <w:t xml:space="preserve"> Mountain of Southwest Cambodia to the Forests of the World: An Exploration of Illegal Charcoal Trade.  </w:t>
      </w:r>
      <w:proofErr w:type="gramStart"/>
      <w:r w:rsidRPr="000346A1">
        <w:rPr>
          <w:rFonts w:asciiTheme="minorHAnsi" w:hAnsiTheme="minorHAnsi"/>
          <w:snapToGrid w:val="0"/>
        </w:rPr>
        <w:t>International Journal of Comparative and Applied Criminal Justice.</w:t>
      </w:r>
      <w:proofErr w:type="gramEnd"/>
      <w:r w:rsidRPr="000346A1">
        <w:rPr>
          <w:rFonts w:asciiTheme="minorHAnsi" w:hAnsiTheme="minorHAnsi"/>
          <w:snapToGrid w:val="0"/>
        </w:rPr>
        <w:t xml:space="preserve">  37, 1: 15-29.</w:t>
      </w:r>
      <w:r w:rsidRPr="000346A1">
        <w:rPr>
          <w:rFonts w:asciiTheme="minorHAnsi" w:hAnsiTheme="minorHAnsi"/>
          <w:snapToGrid w:val="0"/>
        </w:rPr>
        <w:tab/>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roofErr w:type="gramStart"/>
      <w:r w:rsidRPr="000346A1">
        <w:rPr>
          <w:rFonts w:asciiTheme="minorHAnsi" w:hAnsiTheme="minorHAnsi"/>
          <w:snapToGrid w:val="0"/>
        </w:rPr>
        <w:t xml:space="preserve">Fitzgerald, Amy J., Linda </w:t>
      </w:r>
      <w:proofErr w:type="spellStart"/>
      <w:r w:rsidRPr="000346A1">
        <w:rPr>
          <w:rFonts w:asciiTheme="minorHAnsi" w:hAnsiTheme="minorHAnsi"/>
          <w:snapToGrid w:val="0"/>
        </w:rPr>
        <w:t>Kalof</w:t>
      </w:r>
      <w:proofErr w:type="spellEnd"/>
      <w:r w:rsidRPr="000346A1">
        <w:rPr>
          <w:rFonts w:asciiTheme="minorHAnsi" w:hAnsiTheme="minorHAnsi"/>
          <w:snapToGrid w:val="0"/>
        </w:rPr>
        <w:t>, and Thomas Dietz.</w:t>
      </w:r>
      <w:proofErr w:type="gramEnd"/>
      <w:r w:rsidRPr="000346A1">
        <w:rPr>
          <w:rFonts w:asciiTheme="minorHAnsi" w:hAnsiTheme="minorHAnsi"/>
          <w:snapToGrid w:val="0"/>
        </w:rPr>
        <w:t xml:space="preserve"> 2009.  "Slaughterhouses and increased crime rates an empirical analysis of the spillover from “the jungle” into the surrounding community." Organization &amp; </w:t>
      </w:r>
      <w:proofErr w:type="gramStart"/>
      <w:r w:rsidRPr="000346A1">
        <w:rPr>
          <w:rFonts w:asciiTheme="minorHAnsi" w:hAnsiTheme="minorHAnsi"/>
          <w:snapToGrid w:val="0"/>
        </w:rPr>
        <w:t>Environment  22</w:t>
      </w:r>
      <w:proofErr w:type="gramEnd"/>
      <w:r w:rsidRPr="000346A1">
        <w:rPr>
          <w:rFonts w:asciiTheme="minorHAnsi" w:hAnsiTheme="minorHAnsi"/>
          <w:snapToGrid w:val="0"/>
        </w:rPr>
        <w:t>, 2: 158-184.</w:t>
      </w:r>
      <w:r w:rsidRPr="000346A1">
        <w:rPr>
          <w:rFonts w:asciiTheme="minorHAnsi" w:hAnsiTheme="minorHAnsi"/>
          <w:snapToGrid w:val="0"/>
        </w:rPr>
        <w:tab/>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0346A1">
        <w:rPr>
          <w:rFonts w:asciiTheme="minorHAnsi" w:hAnsiTheme="minorHAnsi"/>
          <w:snapToGrid w:val="0"/>
        </w:rPr>
        <w:t>Pires</w:t>
      </w:r>
      <w:proofErr w:type="spellEnd"/>
      <w:r w:rsidRPr="000346A1">
        <w:rPr>
          <w:rFonts w:asciiTheme="minorHAnsi" w:hAnsiTheme="minorHAnsi"/>
          <w:snapToGrid w:val="0"/>
        </w:rPr>
        <w:t>, Stephen, and Ronald V. Clarke.</w:t>
      </w:r>
      <w:proofErr w:type="gramEnd"/>
      <w:r w:rsidRPr="000346A1">
        <w:rPr>
          <w:rFonts w:asciiTheme="minorHAnsi" w:hAnsiTheme="minorHAnsi"/>
          <w:snapToGrid w:val="0"/>
        </w:rPr>
        <w:t xml:space="preserve"> 2012. "Are parrots CRAVED? </w:t>
      </w:r>
      <w:proofErr w:type="gramStart"/>
      <w:r w:rsidRPr="000346A1">
        <w:rPr>
          <w:rFonts w:asciiTheme="minorHAnsi" w:hAnsiTheme="minorHAnsi"/>
          <w:snapToGrid w:val="0"/>
        </w:rPr>
        <w:t>An analysis of parrot poaching in Mexico."</w:t>
      </w:r>
      <w:proofErr w:type="gramEnd"/>
      <w:r w:rsidRPr="000346A1">
        <w:rPr>
          <w:rFonts w:asciiTheme="minorHAnsi" w:hAnsiTheme="minorHAnsi"/>
          <w:snapToGrid w:val="0"/>
        </w:rPr>
        <w:t xml:space="preserve"> Journal of research in crime and delinquency 49, 1: 122-146.</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Pr="009C443A"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25</w:t>
      </w:r>
      <w:r w:rsidRPr="009C443A">
        <w:rPr>
          <w:b/>
          <w:snapToGrid w:val="0"/>
        </w:rPr>
        <w:tab/>
        <w:t xml:space="preserve">Types of Green Crimes, Examples, </w:t>
      </w:r>
      <w:proofErr w:type="spellStart"/>
      <w:r w:rsidRPr="009C443A">
        <w:rPr>
          <w:b/>
          <w:snapToGrid w:val="0"/>
        </w:rPr>
        <w:t>Con’t</w:t>
      </w:r>
      <w:proofErr w:type="spellEnd"/>
      <w:r w:rsidRPr="009C443A">
        <w:rPr>
          <w:b/>
          <w:snapToGrid w:val="0"/>
        </w:rPr>
        <w:t xml:space="preserve"> </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0346A1">
        <w:rPr>
          <w:rFonts w:asciiTheme="minorHAnsi" w:hAnsiTheme="minorHAnsi"/>
          <w:snapToGrid w:val="0"/>
        </w:rPr>
        <w:t xml:space="preserve">Lynch, Michael J., Ronald G. Burns and Paul B. </w:t>
      </w:r>
      <w:proofErr w:type="spellStart"/>
      <w:r w:rsidRPr="000346A1">
        <w:rPr>
          <w:rFonts w:asciiTheme="minorHAnsi" w:hAnsiTheme="minorHAnsi"/>
          <w:snapToGrid w:val="0"/>
        </w:rPr>
        <w:t>Stretesky</w:t>
      </w:r>
      <w:proofErr w:type="spellEnd"/>
      <w:r w:rsidRPr="000346A1">
        <w:rPr>
          <w:rFonts w:asciiTheme="minorHAnsi" w:hAnsiTheme="minorHAnsi"/>
          <w:snapToGrid w:val="0"/>
        </w:rPr>
        <w:t xml:space="preserve">. 2010.  “Global Warming as a State-Corporate Crime: The </w:t>
      </w:r>
      <w:proofErr w:type="spellStart"/>
      <w:r w:rsidRPr="000346A1">
        <w:rPr>
          <w:rFonts w:asciiTheme="minorHAnsi" w:hAnsiTheme="minorHAnsi"/>
          <w:snapToGrid w:val="0"/>
        </w:rPr>
        <w:t>Politicalization</w:t>
      </w:r>
      <w:proofErr w:type="spellEnd"/>
      <w:r w:rsidRPr="000346A1">
        <w:rPr>
          <w:rFonts w:asciiTheme="minorHAnsi" w:hAnsiTheme="minorHAnsi"/>
          <w:snapToGrid w:val="0"/>
        </w:rPr>
        <w:t xml:space="preserve"> of Global Warming During the</w:t>
      </w:r>
      <w:r>
        <w:rPr>
          <w:snapToGrid w:val="0"/>
        </w:rPr>
        <w:t xml:space="preserve"> </w:t>
      </w:r>
      <w:r w:rsidRPr="000346A1">
        <w:rPr>
          <w:rFonts w:asciiTheme="minorHAnsi" w:hAnsiTheme="minorHAnsi"/>
          <w:snapToGrid w:val="0"/>
        </w:rPr>
        <w:t xml:space="preserve">Bush Administration.”  </w:t>
      </w:r>
      <w:r w:rsidRPr="000346A1">
        <w:rPr>
          <w:rFonts w:asciiTheme="minorHAnsi" w:hAnsiTheme="minorHAnsi"/>
          <w:i/>
          <w:snapToGrid w:val="0"/>
        </w:rPr>
        <w:t xml:space="preserve">Crime, Law and Social Change </w:t>
      </w:r>
      <w:r w:rsidRPr="000346A1">
        <w:rPr>
          <w:rFonts w:asciiTheme="minorHAnsi" w:hAnsiTheme="minorHAnsi"/>
          <w:snapToGrid w:val="0"/>
        </w:rPr>
        <w:t>54</w:t>
      </w:r>
      <w:proofErr w:type="gramStart"/>
      <w:r w:rsidRPr="000346A1">
        <w:rPr>
          <w:rFonts w:asciiTheme="minorHAnsi" w:hAnsiTheme="minorHAnsi"/>
          <w:snapToGrid w:val="0"/>
        </w:rPr>
        <w:t>,3</w:t>
      </w:r>
      <w:proofErr w:type="gramEnd"/>
      <w:r w:rsidRPr="000346A1">
        <w:rPr>
          <w:rFonts w:asciiTheme="minorHAnsi" w:hAnsiTheme="minorHAnsi"/>
          <w:snapToGrid w:val="0"/>
        </w:rPr>
        <w:t xml:space="preserve">: 213-39. </w:t>
      </w:r>
      <w:r>
        <w:rPr>
          <w:snapToGrid w:val="0"/>
        </w:rPr>
        <w:tab/>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0346A1">
        <w:rPr>
          <w:rFonts w:asciiTheme="minorHAnsi" w:hAnsiTheme="minorHAnsi"/>
          <w:snapToGrid w:val="0"/>
        </w:rPr>
        <w:t>Bisschop</w:t>
      </w:r>
      <w:proofErr w:type="spellEnd"/>
      <w:r w:rsidRPr="000346A1">
        <w:rPr>
          <w:rFonts w:asciiTheme="minorHAnsi" w:hAnsiTheme="minorHAnsi"/>
          <w:snapToGrid w:val="0"/>
        </w:rPr>
        <w:t xml:space="preserve">, </w:t>
      </w:r>
      <w:proofErr w:type="spellStart"/>
      <w:r w:rsidRPr="000346A1">
        <w:rPr>
          <w:rFonts w:asciiTheme="minorHAnsi" w:hAnsiTheme="minorHAnsi"/>
          <w:snapToGrid w:val="0"/>
        </w:rPr>
        <w:t>Lieselot</w:t>
      </w:r>
      <w:proofErr w:type="spellEnd"/>
      <w:r w:rsidRPr="000346A1">
        <w:rPr>
          <w:rFonts w:asciiTheme="minorHAnsi" w:hAnsiTheme="minorHAnsi"/>
          <w:snapToGrid w:val="0"/>
        </w:rPr>
        <w:t>. 2012. "Is it all going to waste? Illegal transports of e-waste in a European trade hub." Crime, Law and Social Change 58, 3: 221-249.</w:t>
      </w:r>
      <w:r>
        <w:rPr>
          <w:snapToGrid w:val="0"/>
        </w:rPr>
        <w:t xml:space="preserve"> </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0346A1">
        <w:rPr>
          <w:rFonts w:asciiTheme="minorHAnsi" w:hAnsiTheme="minorHAnsi"/>
          <w:snapToGrid w:val="0"/>
        </w:rPr>
        <w:t>Bisschop</w:t>
      </w:r>
      <w:proofErr w:type="spellEnd"/>
      <w:r w:rsidRPr="000346A1">
        <w:rPr>
          <w:rFonts w:asciiTheme="minorHAnsi" w:hAnsiTheme="minorHAnsi"/>
          <w:snapToGrid w:val="0"/>
        </w:rPr>
        <w:t xml:space="preserve">, </w:t>
      </w:r>
      <w:proofErr w:type="spellStart"/>
      <w:r w:rsidRPr="000346A1">
        <w:rPr>
          <w:rFonts w:asciiTheme="minorHAnsi" w:hAnsiTheme="minorHAnsi"/>
          <w:snapToGrid w:val="0"/>
        </w:rPr>
        <w:t>Lieselot</w:t>
      </w:r>
      <w:proofErr w:type="spellEnd"/>
      <w:r w:rsidRPr="000346A1">
        <w:rPr>
          <w:rFonts w:asciiTheme="minorHAnsi" w:hAnsiTheme="minorHAnsi"/>
          <w:snapToGrid w:val="0"/>
        </w:rPr>
        <w:t>. 2012. "Out of the woods: the illegal trade in tropical timber and a European trade hub." Global Crime 13, 3: 191-212.</w:t>
      </w:r>
      <w:r>
        <w:rPr>
          <w:rFonts w:asciiTheme="minorHAnsi" w:hAnsiTheme="minorHAnsi"/>
          <w:snapToGrid w:val="0"/>
        </w:rPr>
        <w:t xml:space="preserve"> </w:t>
      </w:r>
      <w:r>
        <w:rPr>
          <w:snapToGrid w:val="0"/>
        </w:rPr>
        <w:tab/>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0346A1">
        <w:rPr>
          <w:rFonts w:asciiTheme="minorHAnsi" w:hAnsiTheme="minorHAnsi"/>
          <w:snapToGrid w:val="0"/>
        </w:rPr>
        <w:t xml:space="preserve">Gibbs, Carole, Edmund F. </w:t>
      </w:r>
      <w:proofErr w:type="spellStart"/>
      <w:r w:rsidRPr="000346A1">
        <w:rPr>
          <w:rFonts w:asciiTheme="minorHAnsi" w:hAnsiTheme="minorHAnsi"/>
          <w:snapToGrid w:val="0"/>
        </w:rPr>
        <w:t>McGarrell</w:t>
      </w:r>
      <w:proofErr w:type="spellEnd"/>
      <w:r w:rsidRPr="000346A1">
        <w:rPr>
          <w:rFonts w:asciiTheme="minorHAnsi" w:hAnsiTheme="minorHAnsi"/>
          <w:snapToGrid w:val="0"/>
        </w:rPr>
        <w:t>, Mark Axelrod, and Louie Rivers III.</w:t>
      </w:r>
      <w:proofErr w:type="gramEnd"/>
      <w:r w:rsidRPr="000346A1">
        <w:rPr>
          <w:rFonts w:asciiTheme="minorHAnsi" w:hAnsiTheme="minorHAnsi"/>
          <w:snapToGrid w:val="0"/>
        </w:rPr>
        <w:t xml:space="preserve"> 2011. "Conservation criminology and the global trade in electronic waste: Applying a multi-disciplinary research framework." International Journal of Comparative and Applied Criminal Justice 35, 4: 269-291.</w:t>
      </w:r>
      <w:r>
        <w:rPr>
          <w:rFonts w:asciiTheme="minorHAnsi" w:hAnsiTheme="minorHAnsi"/>
          <w:snapToGrid w:val="0"/>
        </w:rPr>
        <w:t xml:space="preserve"> </w:t>
      </w:r>
      <w:r>
        <w:rPr>
          <w:snapToGrid w:val="0"/>
        </w:rPr>
        <w:tab/>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Pr="000346A1"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roofErr w:type="gramStart"/>
      <w:r w:rsidRPr="000346A1">
        <w:rPr>
          <w:rFonts w:asciiTheme="minorHAnsi" w:hAnsiTheme="minorHAnsi"/>
          <w:snapToGrid w:val="0"/>
        </w:rPr>
        <w:t>Lemieux, Andrew M., and Ronald V. Clarke.</w:t>
      </w:r>
      <w:proofErr w:type="gramEnd"/>
      <w:r w:rsidRPr="000346A1">
        <w:rPr>
          <w:rFonts w:asciiTheme="minorHAnsi" w:hAnsiTheme="minorHAnsi"/>
          <w:snapToGrid w:val="0"/>
        </w:rPr>
        <w:t xml:space="preserve"> 2009. "The international ban on ivory sales and its effects on elephant poaching in Africa." British Journal of Criminology 49, 4: 451-471.</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Pr="009C443A"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OCTOBER</w:t>
      </w:r>
    </w:p>
    <w:p w:rsidR="002155EC" w:rsidRPr="009C443A"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Default="002155E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9C443A">
        <w:rPr>
          <w:b/>
          <w:snapToGrid w:val="0"/>
        </w:rPr>
        <w:tab/>
        <w:t>2</w:t>
      </w:r>
      <w:r w:rsidRPr="009C443A">
        <w:rPr>
          <w:b/>
          <w:snapToGrid w:val="0"/>
        </w:rPr>
        <w:tab/>
        <w:t>Compliance and Violation Research</w:t>
      </w:r>
      <w:r w:rsidRPr="000346A1">
        <w:rPr>
          <w:rFonts w:asciiTheme="minorHAnsi" w:hAnsiTheme="minorHAnsi"/>
          <w:snapToGrid w:val="0"/>
        </w:rPr>
        <w:tab/>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E74CC8" w:rsidRDefault="002155E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073479">
        <w:rPr>
          <w:rFonts w:asciiTheme="minorHAnsi" w:hAnsiTheme="minorHAnsi"/>
          <w:snapToGrid w:val="0"/>
        </w:rPr>
        <w:t>Stretesky</w:t>
      </w:r>
      <w:proofErr w:type="spellEnd"/>
      <w:r w:rsidRPr="00073479">
        <w:rPr>
          <w:rFonts w:asciiTheme="minorHAnsi" w:hAnsiTheme="minorHAnsi"/>
          <w:snapToGrid w:val="0"/>
        </w:rPr>
        <w:t>, Paul B., Michael A. Long and Michael J. Lynch.</w:t>
      </w:r>
      <w:proofErr w:type="gramEnd"/>
      <w:r w:rsidRPr="00073479">
        <w:rPr>
          <w:rFonts w:asciiTheme="minorHAnsi" w:hAnsiTheme="minorHAnsi"/>
          <w:snapToGrid w:val="0"/>
        </w:rPr>
        <w:t xml:space="preserve">  (2013) “Does environmental enforcement </w:t>
      </w:r>
      <w:proofErr w:type="gramStart"/>
      <w:r w:rsidRPr="00073479">
        <w:rPr>
          <w:rFonts w:asciiTheme="minorHAnsi" w:hAnsiTheme="minorHAnsi"/>
          <w:snapToGrid w:val="0"/>
        </w:rPr>
        <w:t>slow</w:t>
      </w:r>
      <w:proofErr w:type="gramEnd"/>
      <w:r w:rsidRPr="00073479">
        <w:rPr>
          <w:rFonts w:asciiTheme="minorHAnsi" w:hAnsiTheme="minorHAnsi"/>
          <w:snapToGrid w:val="0"/>
        </w:rPr>
        <w:t xml:space="preserve"> the treadmill of production? </w:t>
      </w:r>
      <w:proofErr w:type="gramStart"/>
      <w:r w:rsidRPr="00073479">
        <w:rPr>
          <w:rFonts w:asciiTheme="minorHAnsi" w:hAnsiTheme="minorHAnsi"/>
          <w:snapToGrid w:val="0"/>
        </w:rPr>
        <w:t>The relationship</w:t>
      </w:r>
      <w:r w:rsidRPr="00073479">
        <w:rPr>
          <w:snapToGrid w:val="0"/>
        </w:rPr>
        <w:t xml:space="preserve"> </w:t>
      </w:r>
      <w:r w:rsidRPr="00073479">
        <w:rPr>
          <w:rFonts w:asciiTheme="minorHAnsi" w:hAnsiTheme="minorHAnsi"/>
          <w:snapToGrid w:val="0"/>
        </w:rPr>
        <w:t>between large monetary penalties, ecological disorganization and toxic releases within offending corporations.”</w:t>
      </w:r>
      <w:proofErr w:type="gramEnd"/>
      <w:r w:rsidRPr="00073479">
        <w:rPr>
          <w:rFonts w:asciiTheme="minorHAnsi" w:hAnsiTheme="minorHAnsi"/>
          <w:snapToGrid w:val="0"/>
        </w:rPr>
        <w:t xml:space="preserve">  </w:t>
      </w:r>
      <w:r w:rsidRPr="00073479">
        <w:rPr>
          <w:rFonts w:asciiTheme="minorHAnsi" w:hAnsiTheme="minorHAnsi"/>
          <w:i/>
          <w:snapToGrid w:val="0"/>
        </w:rPr>
        <w:t xml:space="preserve">Journal of Crime and </w:t>
      </w:r>
      <w:proofErr w:type="gramStart"/>
      <w:r w:rsidRPr="00073479">
        <w:rPr>
          <w:rFonts w:asciiTheme="minorHAnsi" w:hAnsiTheme="minorHAnsi"/>
          <w:i/>
          <w:snapToGrid w:val="0"/>
        </w:rPr>
        <w:t xml:space="preserve">Justice  </w:t>
      </w:r>
      <w:r w:rsidRPr="00073479">
        <w:rPr>
          <w:rFonts w:asciiTheme="minorHAnsi" w:hAnsiTheme="minorHAnsi"/>
          <w:snapToGrid w:val="0"/>
        </w:rPr>
        <w:t>36</w:t>
      </w:r>
      <w:proofErr w:type="gramEnd"/>
      <w:r w:rsidRPr="00073479">
        <w:rPr>
          <w:rFonts w:asciiTheme="minorHAnsi" w:hAnsiTheme="minorHAnsi"/>
          <w:snapToGrid w:val="0"/>
        </w:rPr>
        <w:t>, 2: 235-249.</w:t>
      </w:r>
      <w:r w:rsidR="00E74CC8">
        <w:rPr>
          <w:rFonts w:asciiTheme="minorHAnsi" w:hAnsiTheme="minorHAnsi"/>
          <w:snapToGrid w:val="0"/>
        </w:rPr>
        <w:t xml:space="preserve"> </w:t>
      </w:r>
      <w:r>
        <w:rPr>
          <w:snapToGrid w:val="0"/>
        </w:rPr>
        <w:tab/>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2155E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cs="Arial"/>
          <w:snapToGrid w:val="0"/>
        </w:rPr>
      </w:pPr>
      <w:proofErr w:type="spellStart"/>
      <w:proofErr w:type="gramStart"/>
      <w:r w:rsidRPr="000346A1">
        <w:rPr>
          <w:rFonts w:asciiTheme="minorHAnsi" w:hAnsiTheme="minorHAnsi"/>
          <w:snapToGrid w:val="0"/>
        </w:rPr>
        <w:t>Stretesky</w:t>
      </w:r>
      <w:proofErr w:type="spellEnd"/>
      <w:r w:rsidRPr="000346A1">
        <w:rPr>
          <w:rFonts w:asciiTheme="minorHAnsi" w:hAnsiTheme="minorHAnsi"/>
          <w:snapToGrid w:val="0"/>
        </w:rPr>
        <w:t>, Paul B., and Michael J. Lynch.</w:t>
      </w:r>
      <w:proofErr w:type="gramEnd"/>
      <w:r w:rsidRPr="000346A1">
        <w:rPr>
          <w:rFonts w:asciiTheme="minorHAnsi" w:hAnsiTheme="minorHAnsi"/>
          <w:snapToGrid w:val="0"/>
        </w:rPr>
        <w:t xml:space="preserve"> 2011. “Coal Strip Mining, </w:t>
      </w:r>
      <w:r w:rsidRPr="000346A1">
        <w:rPr>
          <w:rFonts w:asciiTheme="minorHAnsi" w:hAnsiTheme="minorHAnsi" w:cs="Arial"/>
          <w:snapToGrid w:val="0"/>
        </w:rPr>
        <w:t xml:space="preserve">Mountain Top Removal and the Distribution of Environmental Violations Across the United States, 2002-2008.” </w:t>
      </w:r>
      <w:r w:rsidRPr="000346A1">
        <w:rPr>
          <w:rFonts w:asciiTheme="minorHAnsi" w:hAnsiTheme="minorHAnsi" w:cs="Arial"/>
          <w:i/>
          <w:snapToGrid w:val="0"/>
        </w:rPr>
        <w:t xml:space="preserve">Landscape </w:t>
      </w:r>
      <w:proofErr w:type="gramStart"/>
      <w:r w:rsidRPr="000346A1">
        <w:rPr>
          <w:rFonts w:asciiTheme="minorHAnsi" w:hAnsiTheme="minorHAnsi" w:cs="Arial"/>
          <w:i/>
          <w:snapToGrid w:val="0"/>
        </w:rPr>
        <w:t xml:space="preserve">Research </w:t>
      </w:r>
      <w:r w:rsidRPr="000346A1">
        <w:rPr>
          <w:rFonts w:asciiTheme="minorHAnsi" w:hAnsiTheme="minorHAnsi" w:cs="Arial"/>
          <w:snapToGrid w:val="0"/>
        </w:rPr>
        <w:t xml:space="preserve"> 36,2</w:t>
      </w:r>
      <w:proofErr w:type="gramEnd"/>
      <w:r w:rsidRPr="000346A1">
        <w:rPr>
          <w:rFonts w:asciiTheme="minorHAnsi" w:hAnsiTheme="minorHAnsi" w:cs="Arial"/>
          <w:snapToGrid w:val="0"/>
        </w:rPr>
        <w:t xml:space="preserve">: 209-230. </w:t>
      </w:r>
      <w:r w:rsidR="00E74CC8">
        <w:rPr>
          <w:rFonts w:asciiTheme="minorHAnsi" w:hAnsiTheme="minorHAnsi" w:cs="Arial"/>
          <w:snapToGrid w:val="0"/>
        </w:rPr>
        <w:t xml:space="preserve"> </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cs="Arial"/>
          <w:snapToGrid w:val="0"/>
        </w:rPr>
      </w:pPr>
    </w:p>
    <w:p w:rsidR="00E74CC8" w:rsidRDefault="002155E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roofErr w:type="spellStart"/>
      <w:proofErr w:type="gramStart"/>
      <w:r w:rsidRPr="000346A1">
        <w:rPr>
          <w:rFonts w:asciiTheme="minorHAnsi" w:hAnsiTheme="minorHAnsi"/>
          <w:snapToGrid w:val="0"/>
        </w:rPr>
        <w:t>Stretesky</w:t>
      </w:r>
      <w:proofErr w:type="spellEnd"/>
      <w:r w:rsidRPr="000346A1">
        <w:rPr>
          <w:rFonts w:asciiTheme="minorHAnsi" w:hAnsiTheme="minorHAnsi"/>
          <w:snapToGrid w:val="0"/>
        </w:rPr>
        <w:t>, Paul B., and Michael J. Lynch.</w:t>
      </w:r>
      <w:proofErr w:type="gramEnd"/>
      <w:r w:rsidRPr="000346A1">
        <w:rPr>
          <w:rFonts w:asciiTheme="minorHAnsi" w:hAnsiTheme="minorHAnsi"/>
          <w:snapToGrid w:val="0"/>
        </w:rPr>
        <w:t xml:space="preserve"> 2009. “Does Self-Policing Reduce</w:t>
      </w:r>
      <w:r>
        <w:rPr>
          <w:snapToGrid w:val="0"/>
        </w:rPr>
        <w:t xml:space="preserve"> </w:t>
      </w:r>
      <w:r w:rsidRPr="000346A1">
        <w:rPr>
          <w:rFonts w:asciiTheme="minorHAnsi" w:hAnsiTheme="minorHAnsi"/>
          <w:snapToGrid w:val="0"/>
        </w:rPr>
        <w:tab/>
        <w:t xml:space="preserve">Chemical Emissions?  </w:t>
      </w:r>
      <w:proofErr w:type="gramStart"/>
      <w:r w:rsidRPr="000346A1">
        <w:rPr>
          <w:rFonts w:asciiTheme="minorHAnsi" w:hAnsiTheme="minorHAnsi"/>
          <w:snapToGrid w:val="0"/>
        </w:rPr>
        <w:t>A Further Test of the EPA Self Audit Policy.”</w:t>
      </w:r>
      <w:proofErr w:type="gramEnd"/>
      <w:r w:rsidRPr="000346A1">
        <w:rPr>
          <w:rFonts w:asciiTheme="minorHAnsi" w:hAnsiTheme="minorHAnsi"/>
          <w:snapToGrid w:val="0"/>
        </w:rPr>
        <w:t xml:space="preserve">  </w:t>
      </w:r>
      <w:r w:rsidRPr="000346A1">
        <w:rPr>
          <w:rFonts w:asciiTheme="minorHAnsi" w:hAnsiTheme="minorHAnsi"/>
          <w:i/>
          <w:snapToGrid w:val="0"/>
        </w:rPr>
        <w:t>The Social</w:t>
      </w:r>
      <w:r>
        <w:rPr>
          <w:i/>
          <w:snapToGrid w:val="0"/>
        </w:rPr>
        <w:t xml:space="preserve"> </w:t>
      </w:r>
      <w:r w:rsidRPr="000346A1">
        <w:rPr>
          <w:rFonts w:asciiTheme="minorHAnsi" w:hAnsiTheme="minorHAnsi"/>
          <w:i/>
          <w:snapToGrid w:val="0"/>
        </w:rPr>
        <w:t xml:space="preserve">Science </w:t>
      </w:r>
      <w:proofErr w:type="gramStart"/>
      <w:r w:rsidRPr="000346A1">
        <w:rPr>
          <w:rFonts w:asciiTheme="minorHAnsi" w:hAnsiTheme="minorHAnsi"/>
          <w:i/>
          <w:snapToGrid w:val="0"/>
        </w:rPr>
        <w:t xml:space="preserve">Journal  </w:t>
      </w:r>
      <w:r w:rsidRPr="000346A1">
        <w:rPr>
          <w:rFonts w:asciiTheme="minorHAnsi" w:hAnsiTheme="minorHAnsi"/>
          <w:snapToGrid w:val="0"/>
        </w:rPr>
        <w:t>46,3</w:t>
      </w:r>
      <w:proofErr w:type="gramEnd"/>
      <w:r w:rsidRPr="000346A1">
        <w:rPr>
          <w:rFonts w:asciiTheme="minorHAnsi" w:hAnsiTheme="minorHAnsi"/>
          <w:snapToGrid w:val="0"/>
        </w:rPr>
        <w:t>: 459-473.</w:t>
      </w:r>
      <w:r w:rsidR="00E74CC8">
        <w:rPr>
          <w:rFonts w:asciiTheme="minorHAnsi" w:hAnsiTheme="minorHAnsi"/>
          <w:snapToGrid w:val="0"/>
        </w:rPr>
        <w:t xml:space="preserve"> </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p>
    <w:p w:rsidR="002155EC" w:rsidRPr="000346A1" w:rsidRDefault="002155EC"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rFonts w:asciiTheme="minorHAnsi" w:hAnsiTheme="minorHAnsi"/>
          <w:snapToGrid w:val="0"/>
        </w:rPr>
      </w:pPr>
      <w:r w:rsidRPr="000346A1">
        <w:rPr>
          <w:rFonts w:asciiTheme="minorHAnsi" w:hAnsiTheme="minorHAnsi" w:cs="Arial"/>
          <w:snapToGrid w:val="0"/>
        </w:rPr>
        <w:t xml:space="preserve">Lynch, Michael J., Paul B. </w:t>
      </w:r>
      <w:proofErr w:type="spellStart"/>
      <w:r w:rsidRPr="000346A1">
        <w:rPr>
          <w:rFonts w:asciiTheme="minorHAnsi" w:hAnsiTheme="minorHAnsi" w:cs="Arial"/>
          <w:snapToGrid w:val="0"/>
        </w:rPr>
        <w:t>Stretesky</w:t>
      </w:r>
      <w:proofErr w:type="spellEnd"/>
      <w:r w:rsidRPr="000346A1">
        <w:rPr>
          <w:rFonts w:asciiTheme="minorHAnsi" w:hAnsiTheme="minorHAnsi" w:cs="Arial"/>
          <w:snapToGrid w:val="0"/>
        </w:rPr>
        <w:t xml:space="preserve">, and Ronald G. Burns. 2004. “Slippery </w:t>
      </w:r>
      <w:r w:rsidRPr="000346A1">
        <w:rPr>
          <w:rFonts w:asciiTheme="minorHAnsi" w:hAnsiTheme="minorHAnsi" w:cs="Arial"/>
          <w:snapToGrid w:val="0"/>
        </w:rPr>
        <w:tab/>
        <w:t xml:space="preserve">Business: Race, Class and Legal Determinants of Penalties </w:t>
      </w:r>
      <w:proofErr w:type="gramStart"/>
      <w:r w:rsidRPr="000346A1">
        <w:rPr>
          <w:rFonts w:asciiTheme="minorHAnsi" w:hAnsiTheme="minorHAnsi" w:cs="Arial"/>
          <w:snapToGrid w:val="0"/>
        </w:rPr>
        <w:t>Against</w:t>
      </w:r>
      <w:proofErr w:type="gramEnd"/>
      <w:r w:rsidRPr="000346A1">
        <w:rPr>
          <w:rFonts w:asciiTheme="minorHAnsi" w:hAnsiTheme="minorHAnsi" w:cs="Arial"/>
          <w:snapToGrid w:val="0"/>
        </w:rPr>
        <w:t xml:space="preserve"> Petroleum Refineries.”  </w:t>
      </w:r>
      <w:proofErr w:type="gramStart"/>
      <w:r w:rsidRPr="000346A1">
        <w:rPr>
          <w:rFonts w:asciiTheme="minorHAnsi" w:hAnsiTheme="minorHAnsi" w:cs="Arial"/>
          <w:i/>
          <w:snapToGrid w:val="0"/>
        </w:rPr>
        <w:t>Journal of Black Studies</w:t>
      </w:r>
      <w:r w:rsidRPr="000346A1">
        <w:rPr>
          <w:rFonts w:asciiTheme="minorHAnsi" w:hAnsiTheme="minorHAnsi" w:cs="Arial"/>
          <w:snapToGrid w:val="0"/>
        </w:rPr>
        <w:t>.</w:t>
      </w:r>
      <w:proofErr w:type="gramEnd"/>
      <w:r w:rsidRPr="000346A1">
        <w:rPr>
          <w:rFonts w:asciiTheme="minorHAnsi" w:hAnsiTheme="minorHAnsi" w:cs="Arial"/>
          <w:snapToGrid w:val="0"/>
        </w:rPr>
        <w:t xml:space="preserve">  34</w:t>
      </w:r>
      <w:proofErr w:type="gramStart"/>
      <w:r w:rsidRPr="000346A1">
        <w:rPr>
          <w:rFonts w:asciiTheme="minorHAnsi" w:hAnsiTheme="minorHAnsi" w:cs="Arial"/>
          <w:snapToGrid w:val="0"/>
        </w:rPr>
        <w:t>,3</w:t>
      </w:r>
      <w:proofErr w:type="gramEnd"/>
      <w:r w:rsidRPr="000346A1">
        <w:rPr>
          <w:rFonts w:asciiTheme="minorHAnsi" w:hAnsiTheme="minorHAnsi" w:cs="Arial"/>
          <w:snapToGrid w:val="0"/>
        </w:rPr>
        <w:t>: 421-440.</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Pr="009C443A" w:rsidRDefault="00E74CC8"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9</w:t>
      </w:r>
      <w:r w:rsidRPr="009C443A">
        <w:rPr>
          <w:b/>
          <w:snapToGrid w:val="0"/>
        </w:rPr>
        <w:tab/>
        <w:t>Ecological Marxism</w:t>
      </w:r>
    </w:p>
    <w:p w:rsidR="00E74CC8" w:rsidRDefault="00E74CC8"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Foster, John Bellamy, and Paul Burkett. (2008). Classical Marxism and the Second Law of Thermodynamics:  Marx/Engels, the Heat Death of the Universe Hypothesis, and the Origins of Ecological Economics.  Organization &amp; Environment 21, 1: 3-37.</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Clausen, Rebecca, and Brett Clark.</w:t>
      </w:r>
      <w:proofErr w:type="gramEnd"/>
      <w:r w:rsidRPr="00E74CC8">
        <w:rPr>
          <w:snapToGrid w:val="0"/>
        </w:rPr>
        <w:t xml:space="preserve"> "The Metabolic Rift and Marine Ecology </w:t>
      </w:r>
      <w:proofErr w:type="gramStart"/>
      <w:r w:rsidRPr="00E74CC8">
        <w:rPr>
          <w:snapToGrid w:val="0"/>
        </w:rPr>
        <w:t>An</w:t>
      </w:r>
      <w:proofErr w:type="gramEnd"/>
      <w:r w:rsidRPr="00E74CC8">
        <w:rPr>
          <w:snapToGrid w:val="0"/>
        </w:rPr>
        <w:t xml:space="preserve"> Analysis of the Ocean Crisis Within Capitalist Production." Organization &amp; Environment 18, no. 4 (2005): 422-444.</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Clark, Brett, and Richard York.</w:t>
      </w:r>
      <w:proofErr w:type="gramEnd"/>
      <w:r w:rsidRPr="00E74CC8">
        <w:rPr>
          <w:snapToGrid w:val="0"/>
        </w:rPr>
        <w:t xml:space="preserve"> "Carbon metabolism: Global capitalism, climate change, and the </w:t>
      </w:r>
      <w:proofErr w:type="spellStart"/>
      <w:r w:rsidRPr="00E74CC8">
        <w:rPr>
          <w:snapToGrid w:val="0"/>
        </w:rPr>
        <w:t>biospheric</w:t>
      </w:r>
      <w:proofErr w:type="spellEnd"/>
      <w:r w:rsidRPr="00E74CC8">
        <w:rPr>
          <w:snapToGrid w:val="0"/>
        </w:rPr>
        <w:t xml:space="preserve"> rift." Theory and Society 34, no. 4 (2005): 391-428.</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 xml:space="preserve">Foster, John Bellamy. </w:t>
      </w:r>
      <w:proofErr w:type="gramStart"/>
      <w:r w:rsidRPr="00E74CC8">
        <w:rPr>
          <w:snapToGrid w:val="0"/>
        </w:rPr>
        <w:t xml:space="preserve">"The Treadmill of Accumulation </w:t>
      </w:r>
      <w:proofErr w:type="spellStart"/>
      <w:r w:rsidRPr="00E74CC8">
        <w:rPr>
          <w:snapToGrid w:val="0"/>
        </w:rPr>
        <w:t>Schnaiberg’s</w:t>
      </w:r>
      <w:proofErr w:type="spellEnd"/>
      <w:r w:rsidRPr="00E74CC8">
        <w:rPr>
          <w:snapToGrid w:val="0"/>
        </w:rPr>
        <w:t xml:space="preserve"> Environment and Marxian Political Economy."</w:t>
      </w:r>
      <w:proofErr w:type="gramEnd"/>
      <w:r w:rsidRPr="00E74CC8">
        <w:rPr>
          <w:snapToGrid w:val="0"/>
        </w:rPr>
        <w:t xml:space="preserve"> Organization &amp; environment 18, no. 1 (2005): 7-18.</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Burkett, Paul, and John Bellamy Foster.</w:t>
      </w:r>
      <w:proofErr w:type="gramEnd"/>
      <w:r w:rsidRPr="00E74CC8">
        <w:rPr>
          <w:snapToGrid w:val="0"/>
        </w:rPr>
        <w:t xml:space="preserve"> "Metabolism, energy, and entropy in Marx's critique of political economy: Beyond the </w:t>
      </w:r>
      <w:proofErr w:type="spellStart"/>
      <w:r w:rsidRPr="00E74CC8">
        <w:rPr>
          <w:snapToGrid w:val="0"/>
        </w:rPr>
        <w:t>Podolinsky</w:t>
      </w:r>
      <w:proofErr w:type="spellEnd"/>
      <w:r w:rsidRPr="00E74CC8">
        <w:rPr>
          <w:snapToGrid w:val="0"/>
        </w:rPr>
        <w:t xml:space="preserve"> myth." Theory and Society 35, no. 1 (2006): 109-156.</w:t>
      </w:r>
    </w:p>
    <w:p w:rsidR="002155EC" w:rsidRDefault="002155EC"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2155EC" w:rsidRPr="009C443A" w:rsidRDefault="00E74CC8" w:rsidP="002155EC">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16</w:t>
      </w:r>
      <w:r w:rsidRPr="009C443A">
        <w:rPr>
          <w:b/>
          <w:snapToGrid w:val="0"/>
        </w:rPr>
        <w:tab/>
        <w:t xml:space="preserve">Ecological Marxism, </w:t>
      </w:r>
      <w:proofErr w:type="spellStart"/>
      <w:r w:rsidRPr="009C443A">
        <w:rPr>
          <w:b/>
          <w:snapToGrid w:val="0"/>
        </w:rPr>
        <w:t>Con’t</w:t>
      </w:r>
      <w:proofErr w:type="spellEnd"/>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 xml:space="preserve">Clark, Brett, Andrew K. Jorgenson, and Daniel </w:t>
      </w:r>
      <w:proofErr w:type="spellStart"/>
      <w:r w:rsidRPr="00E74CC8">
        <w:rPr>
          <w:snapToGrid w:val="0"/>
        </w:rPr>
        <w:t>Auerbach</w:t>
      </w:r>
      <w:proofErr w:type="spellEnd"/>
      <w:r w:rsidRPr="00E74CC8">
        <w:rPr>
          <w:snapToGrid w:val="0"/>
        </w:rPr>
        <w:t>.</w:t>
      </w:r>
      <w:proofErr w:type="gramEnd"/>
      <w:r w:rsidRPr="00E74CC8">
        <w:rPr>
          <w:snapToGrid w:val="0"/>
        </w:rPr>
        <w:t xml:space="preserve"> (2012)</w:t>
      </w:r>
      <w:proofErr w:type="gramStart"/>
      <w:r w:rsidRPr="00E74CC8">
        <w:rPr>
          <w:snapToGrid w:val="0"/>
        </w:rPr>
        <w:t>.  Up</w:t>
      </w:r>
      <w:proofErr w:type="gramEnd"/>
      <w:r w:rsidRPr="00E74CC8">
        <w:rPr>
          <w:snapToGrid w:val="0"/>
        </w:rPr>
        <w:t xml:space="preserve"> in Smoke The Human Ecology and Political Economy of Coal Consumption.  Organization &amp; Environment 25, </w:t>
      </w:r>
      <w:r w:rsidRPr="00E74CC8">
        <w:rPr>
          <w:snapToGrid w:val="0"/>
        </w:rPr>
        <w:tab/>
        <w:t>4: 452-469.</w:t>
      </w:r>
      <w:r>
        <w:rPr>
          <w:snapToGrid w:val="0"/>
        </w:rPr>
        <w:t xml:space="preserve"> </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Jorgenson, Andrew K., and Brett Clark.</w:t>
      </w:r>
      <w:proofErr w:type="gramEnd"/>
      <w:r w:rsidRPr="00E74CC8">
        <w:rPr>
          <w:snapToGrid w:val="0"/>
        </w:rPr>
        <w:t xml:space="preserve"> (2011)</w:t>
      </w:r>
      <w:proofErr w:type="gramStart"/>
      <w:r w:rsidRPr="00E74CC8">
        <w:rPr>
          <w:snapToGrid w:val="0"/>
        </w:rPr>
        <w:t>.  Societies</w:t>
      </w:r>
      <w:proofErr w:type="gramEnd"/>
      <w:r w:rsidRPr="00E74CC8">
        <w:rPr>
          <w:snapToGrid w:val="0"/>
        </w:rPr>
        <w:t xml:space="preserve"> Consuming Nature: A Panel Study of the Ecological Footprints of Nations, 1960–2003.   Social Science Research 40, 1: 226-244.</w:t>
      </w:r>
      <w:r>
        <w:rPr>
          <w:snapToGrid w:val="0"/>
        </w:rPr>
        <w:t xml:space="preserve"> </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Jorgenson, Andrew K., and Brett Clark.</w:t>
      </w:r>
      <w:proofErr w:type="gramEnd"/>
      <w:r w:rsidRPr="00E74CC8">
        <w:rPr>
          <w:snapToGrid w:val="0"/>
        </w:rPr>
        <w:t xml:space="preserve"> "The economy, military, and ecologically unequal exchange relationships in comparative perspective: A panel study of the Ecological Footprints of nations, 1975–2000." Social Problems 56, no. 4 (2009): 621-646.</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Foster, John Bellamy. "Marx's Theory of Metabolic Rift: Classical Foundations for Environmental Sociology 1." American Journal of Sociology 105, no. 2 (1999): 366-405.</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E74CC8">
        <w:rPr>
          <w:snapToGrid w:val="0"/>
        </w:rPr>
        <w:t>Magdoff</w:t>
      </w:r>
      <w:proofErr w:type="spellEnd"/>
      <w:r w:rsidRPr="00E74CC8">
        <w:rPr>
          <w:snapToGrid w:val="0"/>
        </w:rPr>
        <w:t>, Fred, and John Bellamy Foster.</w:t>
      </w:r>
      <w:proofErr w:type="gramEnd"/>
      <w:r w:rsidRPr="00E74CC8">
        <w:rPr>
          <w:snapToGrid w:val="0"/>
        </w:rPr>
        <w:t xml:space="preserve"> "What every environmentalist need to know about capitalism." Monthly Review 61, no. 10 (2010): 1-30.</w:t>
      </w:r>
    </w:p>
    <w:p w:rsidR="00E74CC8" w:rsidRDefault="00973792"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hyperlink r:id="rId12" w:history="1">
        <w:r w:rsidR="00E74CC8" w:rsidRPr="00340CF7">
          <w:rPr>
            <w:rStyle w:val="Hyperlink"/>
            <w:snapToGrid w:val="0"/>
          </w:rPr>
          <w:t>http://monthlyreview.org/2010/03/01/what-every-environmentalist-needs-to-know-about-capitalism</w:t>
        </w:r>
      </w:hyperlink>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23</w:t>
      </w:r>
      <w:r w:rsidRPr="009C443A">
        <w:rPr>
          <w:b/>
          <w:snapToGrid w:val="0"/>
        </w:rPr>
        <w:tab/>
        <w:t>Environmental Justice</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E74CC8">
        <w:rPr>
          <w:snapToGrid w:val="0"/>
        </w:rPr>
        <w:t>Stretesky</w:t>
      </w:r>
      <w:proofErr w:type="spellEnd"/>
      <w:r w:rsidRPr="00E74CC8">
        <w:rPr>
          <w:snapToGrid w:val="0"/>
        </w:rPr>
        <w:t xml:space="preserve">, Paul B., and Michael </w:t>
      </w:r>
      <w:proofErr w:type="gramStart"/>
      <w:r w:rsidRPr="00E74CC8">
        <w:rPr>
          <w:snapToGrid w:val="0"/>
        </w:rPr>
        <w:t>J .</w:t>
      </w:r>
      <w:proofErr w:type="gramEnd"/>
      <w:r w:rsidRPr="00E74CC8">
        <w:rPr>
          <w:snapToGrid w:val="0"/>
        </w:rPr>
        <w:t xml:space="preserve"> Lynch.  1999. “Environmental Justice and the Prediction of Distance to Accidental Chemical Releases in Hillsborough County, Florida.”  </w:t>
      </w:r>
      <w:proofErr w:type="gramStart"/>
      <w:r w:rsidRPr="00E74CC8">
        <w:rPr>
          <w:snapToGrid w:val="0"/>
        </w:rPr>
        <w:t>Social Science Quarterly.</w:t>
      </w:r>
      <w:proofErr w:type="gramEnd"/>
      <w:r w:rsidRPr="00E74CC8">
        <w:rPr>
          <w:snapToGrid w:val="0"/>
        </w:rPr>
        <w:t xml:space="preserve">  80</w:t>
      </w:r>
      <w:proofErr w:type="gramStart"/>
      <w:r w:rsidRPr="00E74CC8">
        <w:rPr>
          <w:snapToGrid w:val="0"/>
        </w:rPr>
        <w:t>,4:830</w:t>
      </w:r>
      <w:proofErr w:type="gramEnd"/>
      <w:r w:rsidRPr="00E74CC8">
        <w:rPr>
          <w:snapToGrid w:val="0"/>
        </w:rPr>
        <w:t>-846.</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E74CC8">
        <w:rPr>
          <w:snapToGrid w:val="0"/>
        </w:rPr>
        <w:t>Stretesky</w:t>
      </w:r>
      <w:proofErr w:type="spellEnd"/>
      <w:r w:rsidRPr="00E74CC8">
        <w:rPr>
          <w:snapToGrid w:val="0"/>
        </w:rPr>
        <w:t>, Paul B., and Michael J. Lynch.</w:t>
      </w:r>
      <w:proofErr w:type="gramEnd"/>
      <w:r w:rsidRPr="00E74CC8">
        <w:rPr>
          <w:snapToGrid w:val="0"/>
        </w:rPr>
        <w:t xml:space="preserve"> 2002. “Environmental Hazards and School Segregation in Hillsborough, 1987-1999.”  </w:t>
      </w:r>
      <w:proofErr w:type="gramStart"/>
      <w:r w:rsidRPr="00E74CC8">
        <w:rPr>
          <w:snapToGrid w:val="0"/>
        </w:rPr>
        <w:t>The Sociological Quarterly.</w:t>
      </w:r>
      <w:proofErr w:type="gramEnd"/>
      <w:r w:rsidRPr="00E74CC8">
        <w:rPr>
          <w:snapToGrid w:val="0"/>
        </w:rPr>
        <w:t xml:space="preserve"> 43</w:t>
      </w:r>
      <w:proofErr w:type="gramStart"/>
      <w:r w:rsidRPr="00E74CC8">
        <w:rPr>
          <w:snapToGrid w:val="0"/>
        </w:rPr>
        <w:t>,4</w:t>
      </w:r>
      <w:proofErr w:type="gramEnd"/>
      <w:r w:rsidRPr="00E74CC8">
        <w:rPr>
          <w:snapToGrid w:val="0"/>
        </w:rPr>
        <w:t>: 553-573.</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E74CC8">
        <w:rPr>
          <w:snapToGrid w:val="0"/>
        </w:rPr>
        <w:t>Landrigan</w:t>
      </w:r>
      <w:proofErr w:type="spellEnd"/>
      <w:r w:rsidRPr="00E74CC8">
        <w:rPr>
          <w:snapToGrid w:val="0"/>
        </w:rPr>
        <w:t xml:space="preserve">, Philip J., Clyde B. Schechter, Jeffrey M. Lipton, Marianne C. </w:t>
      </w:r>
      <w:proofErr w:type="spellStart"/>
      <w:r w:rsidRPr="00E74CC8">
        <w:rPr>
          <w:snapToGrid w:val="0"/>
        </w:rPr>
        <w:t>Fahs</w:t>
      </w:r>
      <w:proofErr w:type="spellEnd"/>
      <w:r w:rsidRPr="00E74CC8">
        <w:rPr>
          <w:snapToGrid w:val="0"/>
        </w:rPr>
        <w:t>, and Joel Schwartz.</w:t>
      </w:r>
      <w:proofErr w:type="gramEnd"/>
      <w:r w:rsidRPr="00E74CC8">
        <w:rPr>
          <w:snapToGrid w:val="0"/>
        </w:rPr>
        <w:t xml:space="preserve"> (2002)</w:t>
      </w:r>
      <w:proofErr w:type="gramStart"/>
      <w:r w:rsidRPr="00E74CC8">
        <w:rPr>
          <w:snapToGrid w:val="0"/>
        </w:rPr>
        <w:t>.  Environmental</w:t>
      </w:r>
      <w:proofErr w:type="gramEnd"/>
      <w:r w:rsidRPr="00E74CC8">
        <w:rPr>
          <w:snapToGrid w:val="0"/>
        </w:rPr>
        <w:t xml:space="preserve"> Pollutants and Disease in American Children: Estimates of Morbidity, Mortality, and Costs for Lead Poisoning, Asthma, Cancer, and </w:t>
      </w:r>
      <w:r w:rsidRPr="00E74CC8">
        <w:rPr>
          <w:snapToGrid w:val="0"/>
        </w:rPr>
        <w:tab/>
        <w:t>Developmental Disabilities.  Environmental Health Perspectives 110</w:t>
      </w:r>
      <w:proofErr w:type="gramStart"/>
      <w:r w:rsidRPr="00E74CC8">
        <w:rPr>
          <w:snapToGrid w:val="0"/>
        </w:rPr>
        <w:t>,7</w:t>
      </w:r>
      <w:proofErr w:type="gramEnd"/>
      <w:r w:rsidRPr="00E74CC8">
        <w:rPr>
          <w:snapToGrid w:val="0"/>
        </w:rPr>
        <w:t>: 721-728.</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E74CC8">
        <w:rPr>
          <w:snapToGrid w:val="0"/>
        </w:rPr>
        <w:t>Landrigan</w:t>
      </w:r>
      <w:proofErr w:type="spellEnd"/>
      <w:r w:rsidRPr="00E74CC8">
        <w:rPr>
          <w:snapToGrid w:val="0"/>
        </w:rPr>
        <w:t xml:space="preserve">, Philip J., Virginia A. </w:t>
      </w:r>
      <w:proofErr w:type="spellStart"/>
      <w:r w:rsidRPr="00E74CC8">
        <w:rPr>
          <w:snapToGrid w:val="0"/>
        </w:rPr>
        <w:t>Rauh</w:t>
      </w:r>
      <w:proofErr w:type="spellEnd"/>
      <w:r w:rsidRPr="00E74CC8">
        <w:rPr>
          <w:snapToGrid w:val="0"/>
        </w:rPr>
        <w:t>, and Maida P. Galvez.</w:t>
      </w:r>
      <w:proofErr w:type="gramEnd"/>
      <w:r w:rsidRPr="00E74CC8">
        <w:rPr>
          <w:snapToGrid w:val="0"/>
        </w:rPr>
        <w:t xml:space="preserve"> </w:t>
      </w:r>
      <w:proofErr w:type="gramStart"/>
      <w:r w:rsidRPr="00E74CC8">
        <w:rPr>
          <w:snapToGrid w:val="0"/>
        </w:rPr>
        <w:t>"Environmental justice and the health of children."</w:t>
      </w:r>
      <w:proofErr w:type="gramEnd"/>
      <w:r w:rsidRPr="00E74CC8">
        <w:rPr>
          <w:snapToGrid w:val="0"/>
        </w:rPr>
        <w:t xml:space="preserve"> Mount Sinai Journal of Medicine: A Journal of Translational and </w:t>
      </w:r>
      <w:r w:rsidRPr="00E74CC8">
        <w:rPr>
          <w:snapToGrid w:val="0"/>
        </w:rPr>
        <w:lastRenderedPageBreak/>
        <w:t>Personalized Medicine 77, no. 2 (2010): 178-187.</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E74CC8">
        <w:rPr>
          <w:snapToGrid w:val="0"/>
        </w:rPr>
        <w:t>Morello-Frosch</w:t>
      </w:r>
      <w:proofErr w:type="spellEnd"/>
      <w:r w:rsidRPr="00E74CC8">
        <w:rPr>
          <w:snapToGrid w:val="0"/>
        </w:rPr>
        <w:t xml:space="preserve">, Rachel, Manuel Pastor, and James </w:t>
      </w:r>
      <w:proofErr w:type="spellStart"/>
      <w:r w:rsidRPr="00E74CC8">
        <w:rPr>
          <w:snapToGrid w:val="0"/>
        </w:rPr>
        <w:t>Sadd</w:t>
      </w:r>
      <w:proofErr w:type="spellEnd"/>
      <w:r w:rsidRPr="00E74CC8">
        <w:rPr>
          <w:snapToGrid w:val="0"/>
        </w:rPr>
        <w:t>.</w:t>
      </w:r>
      <w:proofErr w:type="gramEnd"/>
      <w:r w:rsidRPr="00E74CC8">
        <w:rPr>
          <w:snapToGrid w:val="0"/>
        </w:rPr>
        <w:t xml:space="preserve"> </w:t>
      </w:r>
      <w:proofErr w:type="gramStart"/>
      <w:r w:rsidRPr="00E74CC8">
        <w:rPr>
          <w:snapToGrid w:val="0"/>
        </w:rPr>
        <w:t>"Integrating environmental justice and the precautionary principle in research and policy making: the case of ambient air toxics exposures and health risks among schoolchildren in Los Angeles."</w:t>
      </w:r>
      <w:proofErr w:type="gramEnd"/>
      <w:r w:rsidRPr="00E74CC8">
        <w:rPr>
          <w:snapToGrid w:val="0"/>
        </w:rPr>
        <w:t xml:space="preserve"> The annals of the American academy of political and social science 584, no. 1 (2002): 47-68.</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30</w:t>
      </w:r>
      <w:r w:rsidRPr="009C443A">
        <w:rPr>
          <w:b/>
          <w:snapToGrid w:val="0"/>
        </w:rPr>
        <w:tab/>
        <w:t xml:space="preserve">Environmental Justice, </w:t>
      </w:r>
      <w:proofErr w:type="spellStart"/>
      <w:r w:rsidRPr="009C443A">
        <w:rPr>
          <w:b/>
          <w:snapToGrid w:val="0"/>
        </w:rPr>
        <w:t>Con’t</w:t>
      </w:r>
      <w:proofErr w:type="spellEnd"/>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 xml:space="preserve">Canfield, Richard L., Charles R. Henderson </w:t>
      </w:r>
      <w:proofErr w:type="spellStart"/>
      <w:r w:rsidRPr="00E74CC8">
        <w:rPr>
          <w:snapToGrid w:val="0"/>
        </w:rPr>
        <w:t>Jr</w:t>
      </w:r>
      <w:proofErr w:type="spellEnd"/>
      <w:r w:rsidRPr="00E74CC8">
        <w:rPr>
          <w:snapToGrid w:val="0"/>
        </w:rPr>
        <w:t>, Deborah A. Cory-</w:t>
      </w:r>
      <w:proofErr w:type="spellStart"/>
      <w:r w:rsidRPr="00E74CC8">
        <w:rPr>
          <w:snapToGrid w:val="0"/>
        </w:rPr>
        <w:t>Slechta</w:t>
      </w:r>
      <w:proofErr w:type="spellEnd"/>
      <w:r w:rsidRPr="00E74CC8">
        <w:rPr>
          <w:snapToGrid w:val="0"/>
        </w:rPr>
        <w:t xml:space="preserve">, Christopher Cox, Todd A. </w:t>
      </w:r>
      <w:proofErr w:type="spellStart"/>
      <w:r w:rsidRPr="00E74CC8">
        <w:rPr>
          <w:snapToGrid w:val="0"/>
        </w:rPr>
        <w:t>Jusko</w:t>
      </w:r>
      <w:proofErr w:type="spellEnd"/>
      <w:r w:rsidRPr="00E74CC8">
        <w:rPr>
          <w:snapToGrid w:val="0"/>
        </w:rPr>
        <w:t xml:space="preserve">, and Bruce P. </w:t>
      </w:r>
      <w:proofErr w:type="spellStart"/>
      <w:r w:rsidRPr="00E74CC8">
        <w:rPr>
          <w:snapToGrid w:val="0"/>
        </w:rPr>
        <w:t>Lanphear</w:t>
      </w:r>
      <w:proofErr w:type="spellEnd"/>
      <w:r w:rsidRPr="00E74CC8">
        <w:rPr>
          <w:snapToGrid w:val="0"/>
        </w:rPr>
        <w:t xml:space="preserve">. "Intellectual impairment in children with blood </w:t>
      </w:r>
      <w:proofErr w:type="gramStart"/>
      <w:r w:rsidRPr="00E74CC8">
        <w:rPr>
          <w:snapToGrid w:val="0"/>
        </w:rPr>
        <w:t>lead</w:t>
      </w:r>
      <w:proofErr w:type="gramEnd"/>
      <w:r w:rsidRPr="00E74CC8">
        <w:rPr>
          <w:snapToGrid w:val="0"/>
        </w:rPr>
        <w:t xml:space="preserve"> concentrations below 10 </w:t>
      </w:r>
      <w:proofErr w:type="spellStart"/>
      <w:r w:rsidRPr="00E74CC8">
        <w:rPr>
          <w:snapToGrid w:val="0"/>
        </w:rPr>
        <w:t>μg</w:t>
      </w:r>
      <w:proofErr w:type="spellEnd"/>
      <w:r w:rsidRPr="00E74CC8">
        <w:rPr>
          <w:snapToGrid w:val="0"/>
        </w:rPr>
        <w:t xml:space="preserve"> per deciliter." New England Journal of Medicine 348, no. 16 (2003): 1517-1526.</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E74CC8">
        <w:rPr>
          <w:snapToGrid w:val="0"/>
        </w:rPr>
        <w:t>Grandjean</w:t>
      </w:r>
      <w:proofErr w:type="spellEnd"/>
      <w:r w:rsidRPr="00E74CC8">
        <w:rPr>
          <w:snapToGrid w:val="0"/>
        </w:rPr>
        <w:t xml:space="preserve">, Philippe, Pal </w:t>
      </w:r>
      <w:proofErr w:type="spellStart"/>
      <w:r w:rsidRPr="00E74CC8">
        <w:rPr>
          <w:snapToGrid w:val="0"/>
        </w:rPr>
        <w:t>Weihe</w:t>
      </w:r>
      <w:proofErr w:type="spellEnd"/>
      <w:r w:rsidRPr="00E74CC8">
        <w:rPr>
          <w:snapToGrid w:val="0"/>
        </w:rPr>
        <w:t xml:space="preserve">, Roberta F. White, </w:t>
      </w:r>
      <w:proofErr w:type="spellStart"/>
      <w:r w:rsidRPr="00E74CC8">
        <w:rPr>
          <w:snapToGrid w:val="0"/>
        </w:rPr>
        <w:t>Frodi</w:t>
      </w:r>
      <w:proofErr w:type="spellEnd"/>
      <w:r w:rsidRPr="00E74CC8">
        <w:rPr>
          <w:snapToGrid w:val="0"/>
        </w:rPr>
        <w:t xml:space="preserve"> </w:t>
      </w:r>
      <w:proofErr w:type="spellStart"/>
      <w:r w:rsidRPr="00E74CC8">
        <w:rPr>
          <w:snapToGrid w:val="0"/>
        </w:rPr>
        <w:t>Debes</w:t>
      </w:r>
      <w:proofErr w:type="spellEnd"/>
      <w:r w:rsidRPr="00E74CC8">
        <w:rPr>
          <w:snapToGrid w:val="0"/>
        </w:rPr>
        <w:t xml:space="preserve">, Shunichi Araki, </w:t>
      </w:r>
      <w:proofErr w:type="spellStart"/>
      <w:r w:rsidRPr="00E74CC8">
        <w:rPr>
          <w:snapToGrid w:val="0"/>
        </w:rPr>
        <w:t>Kazuhito</w:t>
      </w:r>
      <w:proofErr w:type="spellEnd"/>
      <w:r w:rsidRPr="00E74CC8">
        <w:rPr>
          <w:snapToGrid w:val="0"/>
        </w:rPr>
        <w:t xml:space="preserve"> Yokoyama, </w:t>
      </w:r>
      <w:proofErr w:type="spellStart"/>
      <w:r w:rsidRPr="00E74CC8">
        <w:rPr>
          <w:snapToGrid w:val="0"/>
        </w:rPr>
        <w:t>Katsuyuki</w:t>
      </w:r>
      <w:proofErr w:type="spellEnd"/>
      <w:r w:rsidRPr="00E74CC8">
        <w:rPr>
          <w:snapToGrid w:val="0"/>
        </w:rPr>
        <w:t xml:space="preserve"> Murata, </w:t>
      </w:r>
      <w:proofErr w:type="spellStart"/>
      <w:r w:rsidRPr="00E74CC8">
        <w:rPr>
          <w:snapToGrid w:val="0"/>
        </w:rPr>
        <w:t>Nicolina</w:t>
      </w:r>
      <w:proofErr w:type="spellEnd"/>
      <w:r w:rsidRPr="00E74CC8">
        <w:rPr>
          <w:snapToGrid w:val="0"/>
        </w:rPr>
        <w:t xml:space="preserve"> </w:t>
      </w:r>
      <w:proofErr w:type="spellStart"/>
      <w:r w:rsidRPr="00E74CC8">
        <w:rPr>
          <w:snapToGrid w:val="0"/>
        </w:rPr>
        <w:t>Sørensen</w:t>
      </w:r>
      <w:proofErr w:type="spellEnd"/>
      <w:r w:rsidRPr="00E74CC8">
        <w:rPr>
          <w:snapToGrid w:val="0"/>
        </w:rPr>
        <w:t xml:space="preserve">, </w:t>
      </w:r>
      <w:proofErr w:type="spellStart"/>
      <w:r w:rsidRPr="00E74CC8">
        <w:rPr>
          <w:snapToGrid w:val="0"/>
        </w:rPr>
        <w:t>Rasmus</w:t>
      </w:r>
      <w:proofErr w:type="spellEnd"/>
      <w:r w:rsidRPr="00E74CC8">
        <w:rPr>
          <w:snapToGrid w:val="0"/>
        </w:rPr>
        <w:t xml:space="preserve"> Dahl, and </w:t>
      </w:r>
      <w:proofErr w:type="spellStart"/>
      <w:r w:rsidRPr="00E74CC8">
        <w:rPr>
          <w:snapToGrid w:val="0"/>
        </w:rPr>
        <w:t>Poul</w:t>
      </w:r>
      <w:proofErr w:type="spellEnd"/>
      <w:r w:rsidRPr="00E74CC8">
        <w:rPr>
          <w:snapToGrid w:val="0"/>
        </w:rPr>
        <w:t xml:space="preserve"> J. </w:t>
      </w:r>
      <w:proofErr w:type="spellStart"/>
      <w:r w:rsidRPr="00E74CC8">
        <w:rPr>
          <w:snapToGrid w:val="0"/>
        </w:rPr>
        <w:t>Jørgensen</w:t>
      </w:r>
      <w:proofErr w:type="spellEnd"/>
      <w:r w:rsidRPr="00E74CC8">
        <w:rPr>
          <w:snapToGrid w:val="0"/>
        </w:rPr>
        <w:t xml:space="preserve">. </w:t>
      </w:r>
      <w:proofErr w:type="gramStart"/>
      <w:r w:rsidRPr="00E74CC8">
        <w:rPr>
          <w:snapToGrid w:val="0"/>
        </w:rPr>
        <w:t xml:space="preserve">"Cognitive deficit in 7-year-old children with prenatal exposure to </w:t>
      </w:r>
      <w:proofErr w:type="spellStart"/>
      <w:r w:rsidRPr="00E74CC8">
        <w:rPr>
          <w:snapToGrid w:val="0"/>
        </w:rPr>
        <w:t>methylmercury</w:t>
      </w:r>
      <w:proofErr w:type="spellEnd"/>
      <w:r w:rsidRPr="00E74CC8">
        <w:rPr>
          <w:snapToGrid w:val="0"/>
        </w:rPr>
        <w:t>."</w:t>
      </w:r>
      <w:proofErr w:type="gramEnd"/>
      <w:r w:rsidRPr="00E74CC8">
        <w:rPr>
          <w:snapToGrid w:val="0"/>
        </w:rPr>
        <w:t xml:space="preserve"> </w:t>
      </w:r>
      <w:proofErr w:type="spellStart"/>
      <w:r w:rsidRPr="00E74CC8">
        <w:rPr>
          <w:snapToGrid w:val="0"/>
        </w:rPr>
        <w:t>Neurotoxicology</w:t>
      </w:r>
      <w:proofErr w:type="spellEnd"/>
      <w:r w:rsidRPr="00E74CC8">
        <w:rPr>
          <w:snapToGrid w:val="0"/>
        </w:rPr>
        <w:t xml:space="preserve"> and teratology 19, no. 6 (1997): 417-428.</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E74CC8">
        <w:rPr>
          <w:snapToGrid w:val="0"/>
        </w:rPr>
        <w:t xml:space="preserve">Evans, Gary W., and </w:t>
      </w:r>
      <w:proofErr w:type="spellStart"/>
      <w:r w:rsidRPr="00E74CC8">
        <w:rPr>
          <w:snapToGrid w:val="0"/>
        </w:rPr>
        <w:t>Lyscha</w:t>
      </w:r>
      <w:proofErr w:type="spellEnd"/>
      <w:r w:rsidRPr="00E74CC8">
        <w:rPr>
          <w:snapToGrid w:val="0"/>
        </w:rPr>
        <w:t xml:space="preserve"> A. </w:t>
      </w:r>
      <w:proofErr w:type="spellStart"/>
      <w:r w:rsidRPr="00E74CC8">
        <w:rPr>
          <w:snapToGrid w:val="0"/>
        </w:rPr>
        <w:t>Marcynyszyn</w:t>
      </w:r>
      <w:proofErr w:type="spellEnd"/>
      <w:r w:rsidRPr="00E74CC8">
        <w:rPr>
          <w:snapToGrid w:val="0"/>
        </w:rPr>
        <w:t>.</w:t>
      </w:r>
      <w:proofErr w:type="gramEnd"/>
      <w:r w:rsidRPr="00E74CC8">
        <w:rPr>
          <w:snapToGrid w:val="0"/>
        </w:rPr>
        <w:t xml:space="preserve"> </w:t>
      </w:r>
      <w:proofErr w:type="gramStart"/>
      <w:r w:rsidRPr="00E74CC8">
        <w:rPr>
          <w:snapToGrid w:val="0"/>
        </w:rPr>
        <w:t>"Environmental justice, cumulative environmental risk, and health among low-and middle-income children in upstate New York."</w:t>
      </w:r>
      <w:proofErr w:type="gramEnd"/>
      <w:r w:rsidRPr="00E74CC8">
        <w:rPr>
          <w:snapToGrid w:val="0"/>
        </w:rPr>
        <w:t xml:space="preserve"> </w:t>
      </w:r>
      <w:proofErr w:type="gramStart"/>
      <w:r w:rsidRPr="00E74CC8">
        <w:rPr>
          <w:snapToGrid w:val="0"/>
        </w:rPr>
        <w:t>American Journal of Public Health 94, no. 11 (2004).</w:t>
      </w:r>
      <w:proofErr w:type="gramEnd"/>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http://www.ncbi.nlm.nih.gov/pmc/articles/PMC1448566/</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 xml:space="preserve">Pastor </w:t>
      </w:r>
      <w:proofErr w:type="spellStart"/>
      <w:r w:rsidRPr="00E74CC8">
        <w:rPr>
          <w:snapToGrid w:val="0"/>
        </w:rPr>
        <w:t>Jr</w:t>
      </w:r>
      <w:proofErr w:type="spellEnd"/>
      <w:r w:rsidRPr="00E74CC8">
        <w:rPr>
          <w:snapToGrid w:val="0"/>
        </w:rPr>
        <w:t xml:space="preserve">, Manuel, James L. </w:t>
      </w:r>
      <w:proofErr w:type="spellStart"/>
      <w:r w:rsidRPr="00E74CC8">
        <w:rPr>
          <w:snapToGrid w:val="0"/>
        </w:rPr>
        <w:t>Sadd</w:t>
      </w:r>
      <w:proofErr w:type="spellEnd"/>
      <w:r w:rsidRPr="00E74CC8">
        <w:rPr>
          <w:snapToGrid w:val="0"/>
        </w:rPr>
        <w:t xml:space="preserve">, and Rachel </w:t>
      </w:r>
      <w:proofErr w:type="spellStart"/>
      <w:r w:rsidRPr="00E74CC8">
        <w:rPr>
          <w:snapToGrid w:val="0"/>
        </w:rPr>
        <w:t>Morello</w:t>
      </w:r>
      <w:r w:rsidRPr="00E74CC8">
        <w:rPr>
          <w:rFonts w:ascii="Cambria Math" w:hAnsi="Cambria Math" w:cs="Cambria Math"/>
          <w:snapToGrid w:val="0"/>
        </w:rPr>
        <w:t>‐</w:t>
      </w:r>
      <w:r w:rsidRPr="00E74CC8">
        <w:rPr>
          <w:snapToGrid w:val="0"/>
        </w:rPr>
        <w:t>Frosch</w:t>
      </w:r>
      <w:proofErr w:type="spellEnd"/>
      <w:r w:rsidRPr="00E74CC8">
        <w:rPr>
          <w:snapToGrid w:val="0"/>
        </w:rPr>
        <w:t xml:space="preserve">. "Who's minding the kids? </w:t>
      </w:r>
      <w:proofErr w:type="spellStart"/>
      <w:proofErr w:type="gramStart"/>
      <w:r w:rsidRPr="00E74CC8">
        <w:rPr>
          <w:snapToGrid w:val="0"/>
        </w:rPr>
        <w:t>Pollucion</w:t>
      </w:r>
      <w:proofErr w:type="spellEnd"/>
      <w:r w:rsidRPr="00E74CC8">
        <w:rPr>
          <w:snapToGrid w:val="0"/>
        </w:rPr>
        <w:t>, public schools, and environmental justice in Los Angeles."</w:t>
      </w:r>
      <w:proofErr w:type="gramEnd"/>
      <w:r w:rsidRPr="00E74CC8">
        <w:rPr>
          <w:snapToGrid w:val="0"/>
        </w:rPr>
        <w:t xml:space="preserve"> Social Science Quarterly 83, no. 1 (2002): 263-280.</w:t>
      </w:r>
    </w:p>
    <w:p w:rsidR="00E74CC8" w:rsidRP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E74CC8">
        <w:rPr>
          <w:snapToGrid w:val="0"/>
        </w:rPr>
        <w:t>Chakraborty</w:t>
      </w:r>
      <w:proofErr w:type="spellEnd"/>
      <w:r w:rsidRPr="00E74CC8">
        <w:rPr>
          <w:snapToGrid w:val="0"/>
        </w:rPr>
        <w:t xml:space="preserve">, </w:t>
      </w:r>
      <w:proofErr w:type="spellStart"/>
      <w:r w:rsidRPr="00E74CC8">
        <w:rPr>
          <w:snapToGrid w:val="0"/>
        </w:rPr>
        <w:t>Jayajit</w:t>
      </w:r>
      <w:proofErr w:type="spellEnd"/>
      <w:r w:rsidRPr="00E74CC8">
        <w:rPr>
          <w:snapToGrid w:val="0"/>
        </w:rPr>
        <w:t xml:space="preserve">, and Paul A. </w:t>
      </w:r>
      <w:proofErr w:type="spellStart"/>
      <w:r w:rsidRPr="00E74CC8">
        <w:rPr>
          <w:snapToGrid w:val="0"/>
        </w:rPr>
        <w:t>Zandbergen</w:t>
      </w:r>
      <w:proofErr w:type="spellEnd"/>
      <w:r w:rsidRPr="00E74CC8">
        <w:rPr>
          <w:snapToGrid w:val="0"/>
        </w:rPr>
        <w:t>.</w:t>
      </w:r>
      <w:proofErr w:type="gramEnd"/>
      <w:r w:rsidRPr="00E74CC8">
        <w:rPr>
          <w:snapToGrid w:val="0"/>
        </w:rPr>
        <w:t xml:space="preserve"> "Children at risk: measuring racial/ethnic disparities in potential exposure to air pollution at school and home." Journal of epidemiology and community health 61, no. 12 (2007): 1074-1079.</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November</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ab/>
        <w:t>6</w:t>
      </w:r>
      <w:r w:rsidR="009C443A">
        <w:rPr>
          <w:b/>
          <w:snapToGrid w:val="0"/>
        </w:rPr>
        <w:tab/>
        <w:t>BOOK</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E74CC8">
        <w:rPr>
          <w:snapToGrid w:val="0"/>
        </w:rPr>
        <w:t>Kovel</w:t>
      </w:r>
      <w:proofErr w:type="spellEnd"/>
      <w:r w:rsidRPr="00E74CC8">
        <w:rPr>
          <w:snapToGrid w:val="0"/>
        </w:rPr>
        <w:t>, Joel. (2007)</w:t>
      </w:r>
      <w:proofErr w:type="gramStart"/>
      <w:r w:rsidRPr="00E74CC8">
        <w:rPr>
          <w:snapToGrid w:val="0"/>
        </w:rPr>
        <w:t>.  The</w:t>
      </w:r>
      <w:proofErr w:type="gramEnd"/>
      <w:r w:rsidRPr="00E74CC8">
        <w:rPr>
          <w:snapToGrid w:val="0"/>
        </w:rPr>
        <w:t xml:space="preserve"> Enemy of Nature: The End of Capitalism or the End of the World? NY: Zed Books.</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tab/>
      </w:r>
      <w:r w:rsidRPr="009C443A">
        <w:rPr>
          <w:b/>
          <w:snapToGrid w:val="0"/>
        </w:rPr>
        <w:t>13</w:t>
      </w:r>
      <w:r w:rsidR="009C443A">
        <w:rPr>
          <w:b/>
          <w:snapToGrid w:val="0"/>
        </w:rPr>
        <w:tab/>
        <w:t>BOOK</w:t>
      </w:r>
      <w:r w:rsidRPr="009C443A">
        <w:rPr>
          <w:b/>
          <w:snapToGrid w:val="0"/>
        </w:rPr>
        <w:tab/>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E74CC8">
        <w:rPr>
          <w:snapToGrid w:val="0"/>
        </w:rPr>
        <w:t>Reece, Erik. (2006)</w:t>
      </w:r>
      <w:proofErr w:type="gramStart"/>
      <w:r w:rsidRPr="00E74CC8">
        <w:rPr>
          <w:snapToGrid w:val="0"/>
        </w:rPr>
        <w:t>.  Lost</w:t>
      </w:r>
      <w:proofErr w:type="gramEnd"/>
      <w:r w:rsidRPr="00E74CC8">
        <w:rPr>
          <w:snapToGrid w:val="0"/>
        </w:rPr>
        <w:t xml:space="preserve"> Mountain: A Year in the Vanishing Wilderness.  Riverhead, NY: Riverhead Books.</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Pr>
          <w:snapToGrid w:val="0"/>
        </w:rPr>
        <w:lastRenderedPageBreak/>
        <w:tab/>
      </w:r>
      <w:r w:rsidRPr="009C443A">
        <w:rPr>
          <w:b/>
          <w:snapToGrid w:val="0"/>
        </w:rPr>
        <w:t>20</w:t>
      </w:r>
      <w:r w:rsidRPr="009C443A">
        <w:rPr>
          <w:b/>
          <w:snapToGrid w:val="0"/>
        </w:rPr>
        <w:tab/>
        <w:t>OFF – ASC MEETINGS</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ab/>
        <w:t>27</w:t>
      </w:r>
      <w:r w:rsidRPr="009C443A">
        <w:rPr>
          <w:b/>
          <w:snapToGrid w:val="0"/>
        </w:rPr>
        <w:tab/>
        <w:t>OFF – THANKSGIVING</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DECEMBER</w:t>
      </w: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p>
    <w:p w:rsidR="00E74CC8" w:rsidRPr="009C443A"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b/>
          <w:snapToGrid w:val="0"/>
        </w:rPr>
      </w:pPr>
      <w:r w:rsidRPr="009C443A">
        <w:rPr>
          <w:b/>
          <w:snapToGrid w:val="0"/>
        </w:rPr>
        <w:tab/>
        <w:t>4</w:t>
      </w:r>
    </w:p>
    <w:p w:rsidR="00E74CC8" w:rsidRDefault="00E74CC8"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Pr>
          <w:snapToGrid w:val="0"/>
        </w:rPr>
        <w:t xml:space="preserve">BIBLIOGRAPHY OF RELATED MATERIALS (Things I considered but excluded due to time restrictions). </w:t>
      </w: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Agnew, Robert. 2012. Dire forecast: A theoretical model of the impact of climate change on crime. Theoretical Criminology, 16, 1: 21-42.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Beirne</w:t>
      </w:r>
      <w:proofErr w:type="spellEnd"/>
      <w:r w:rsidRPr="009C443A">
        <w:rPr>
          <w:snapToGrid w:val="0"/>
        </w:rPr>
        <w:t>, Piers. 2011. "Animal abuse and criminology: introduction to a special issue." Crime, Law and Social Change 55, 5: 349-357.</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Beirne</w:t>
      </w:r>
      <w:proofErr w:type="spellEnd"/>
      <w:r w:rsidRPr="009C443A">
        <w:rPr>
          <w:snapToGrid w:val="0"/>
        </w:rPr>
        <w:t xml:space="preserve">, Piers. 2009. Confronting animal abuse: Law, criminology, and human-animal relationships. </w:t>
      </w:r>
      <w:proofErr w:type="spellStart"/>
      <w:proofErr w:type="gramStart"/>
      <w:r w:rsidRPr="009C443A">
        <w:rPr>
          <w:snapToGrid w:val="0"/>
        </w:rPr>
        <w:t>Rowman</w:t>
      </w:r>
      <w:proofErr w:type="spellEnd"/>
      <w:r w:rsidRPr="009C443A">
        <w:rPr>
          <w:snapToGrid w:val="0"/>
        </w:rPr>
        <w:t xml:space="preserve"> &amp; Littlefield Publishers.</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Beirne</w:t>
      </w:r>
      <w:proofErr w:type="spellEnd"/>
      <w:r w:rsidRPr="009C443A">
        <w:rPr>
          <w:snapToGrid w:val="0"/>
        </w:rPr>
        <w:t>, P., &amp; South, N. (</w:t>
      </w:r>
      <w:proofErr w:type="spellStart"/>
      <w:proofErr w:type="gramStart"/>
      <w:r w:rsidRPr="009C443A">
        <w:rPr>
          <w:snapToGrid w:val="0"/>
        </w:rPr>
        <w:t>eds</w:t>
      </w:r>
      <w:proofErr w:type="spellEnd"/>
      <w:proofErr w:type="gramEnd"/>
      <w:r w:rsidRPr="009C443A">
        <w:rPr>
          <w:snapToGrid w:val="0"/>
        </w:rPr>
        <w:t xml:space="preserve">). (2007). Issues in green criminology: Confronting harms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against</w:t>
      </w:r>
      <w:proofErr w:type="gramEnd"/>
      <w:r w:rsidRPr="009C443A">
        <w:rPr>
          <w:snapToGrid w:val="0"/>
        </w:rPr>
        <w:t xml:space="preserve"> environments, other animals, and humanity. </w:t>
      </w:r>
      <w:proofErr w:type="spellStart"/>
      <w:proofErr w:type="gramStart"/>
      <w:r w:rsidRPr="009C443A">
        <w:rPr>
          <w:snapToGrid w:val="0"/>
        </w:rPr>
        <w:t>Willan</w:t>
      </w:r>
      <w:proofErr w:type="spellEnd"/>
      <w:r w:rsidRPr="009C443A">
        <w:rPr>
          <w:snapToGrid w:val="0"/>
        </w:rPr>
        <w:t>.</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Beirne</w:t>
      </w:r>
      <w:proofErr w:type="spellEnd"/>
      <w:r w:rsidRPr="009C443A">
        <w:rPr>
          <w:snapToGrid w:val="0"/>
        </w:rPr>
        <w:t>, Piers, and Nigel South, eds.2006.</w:t>
      </w:r>
      <w:proofErr w:type="gramEnd"/>
      <w:r w:rsidRPr="009C443A">
        <w:rPr>
          <w:snapToGrid w:val="0"/>
        </w:rPr>
        <w:t xml:space="preserve">  </w:t>
      </w:r>
      <w:proofErr w:type="gramStart"/>
      <w:r w:rsidRPr="009C443A">
        <w:rPr>
          <w:snapToGrid w:val="0"/>
        </w:rPr>
        <w:t>Green criminology.</w:t>
      </w:r>
      <w:proofErr w:type="gramEnd"/>
      <w:r w:rsidRPr="009C443A">
        <w:rPr>
          <w:snapToGrid w:val="0"/>
        </w:rPr>
        <w:t xml:space="preserve"> </w:t>
      </w:r>
      <w:proofErr w:type="spellStart"/>
      <w:proofErr w:type="gramStart"/>
      <w:r w:rsidRPr="009C443A">
        <w:rPr>
          <w:snapToGrid w:val="0"/>
        </w:rPr>
        <w:t>Ashgate</w:t>
      </w:r>
      <w:proofErr w:type="spellEnd"/>
      <w:r w:rsidRPr="009C443A">
        <w:rPr>
          <w:snapToGrid w:val="0"/>
        </w:rPr>
        <w:t>.</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Brisman</w:t>
      </w:r>
      <w:proofErr w:type="spellEnd"/>
      <w:r w:rsidRPr="009C443A">
        <w:rPr>
          <w:snapToGrid w:val="0"/>
        </w:rPr>
        <w:t xml:space="preserve">, </w:t>
      </w:r>
      <w:proofErr w:type="spellStart"/>
      <w:r w:rsidRPr="009C443A">
        <w:rPr>
          <w:snapToGrid w:val="0"/>
        </w:rPr>
        <w:t>Avi</w:t>
      </w:r>
      <w:proofErr w:type="spellEnd"/>
      <w:r w:rsidRPr="009C443A">
        <w:rPr>
          <w:snapToGrid w:val="0"/>
        </w:rPr>
        <w:t>. 2011.  “Green Harms” as Art Crime, Art Criticism as Environmental Dissent. Journal of Contemporary Criminal Justice, Vol. 27 Issue 4, p465-499</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Bisschop</w:t>
      </w:r>
      <w:proofErr w:type="spellEnd"/>
      <w:r w:rsidRPr="009C443A">
        <w:rPr>
          <w:snapToGrid w:val="0"/>
        </w:rPr>
        <w:t xml:space="preserve">, </w:t>
      </w:r>
      <w:proofErr w:type="spellStart"/>
      <w:r w:rsidRPr="009C443A">
        <w:rPr>
          <w:snapToGrid w:val="0"/>
        </w:rPr>
        <w:t>Lieselot</w:t>
      </w:r>
      <w:proofErr w:type="spellEnd"/>
      <w:r w:rsidRPr="009C443A">
        <w:rPr>
          <w:snapToGrid w:val="0"/>
        </w:rPr>
        <w:t>. 2010. "Corporate environmental responsibility and criminology." Crime, law and social change 53, 4: 349-364.</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Burns, Ronald G., and Michael J. Lynch.2002.</w:t>
      </w:r>
      <w:proofErr w:type="gramEnd"/>
      <w:r w:rsidRPr="009C443A">
        <w:rPr>
          <w:snapToGrid w:val="0"/>
        </w:rPr>
        <w:t xml:space="preserve">  </w:t>
      </w:r>
      <w:proofErr w:type="gramStart"/>
      <w:r w:rsidRPr="009C443A">
        <w:rPr>
          <w:snapToGrid w:val="0"/>
        </w:rPr>
        <w:t>Environmental crime.</w:t>
      </w:r>
      <w:proofErr w:type="gramEnd"/>
      <w:r w:rsidRPr="009C443A">
        <w:rPr>
          <w:snapToGrid w:val="0"/>
        </w:rPr>
        <w:t xml:space="preserve"> </w:t>
      </w:r>
      <w:proofErr w:type="gramStart"/>
      <w:r w:rsidRPr="009C443A">
        <w:rPr>
          <w:snapToGrid w:val="0"/>
        </w:rPr>
        <w:t>LFB Scholarly Pub.</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Cazaux</w:t>
      </w:r>
      <w:proofErr w:type="spellEnd"/>
      <w:r w:rsidRPr="009C443A">
        <w:rPr>
          <w:snapToGrid w:val="0"/>
        </w:rPr>
        <w:t>, Geertrui.1999.  "Beauty and the beast: Animal abuse from a non-</w:t>
      </w:r>
      <w:proofErr w:type="spellStart"/>
      <w:r w:rsidRPr="009C443A">
        <w:rPr>
          <w:snapToGrid w:val="0"/>
        </w:rPr>
        <w:t>speciesist</w:t>
      </w:r>
      <w:proofErr w:type="spellEnd"/>
      <w:r w:rsidRPr="009C443A">
        <w:rPr>
          <w:snapToGrid w:val="0"/>
        </w:rPr>
        <w:t xml:space="preserve"> criminological perspective." Crime, Law and Social Change 31, 2: 105-125.</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Colborn</w:t>
      </w:r>
      <w:proofErr w:type="spellEnd"/>
      <w:r w:rsidRPr="009C443A">
        <w:rPr>
          <w:snapToGrid w:val="0"/>
        </w:rPr>
        <w:t xml:space="preserve">, Theo, Dianne </w:t>
      </w:r>
      <w:proofErr w:type="spellStart"/>
      <w:r w:rsidRPr="009C443A">
        <w:rPr>
          <w:snapToGrid w:val="0"/>
        </w:rPr>
        <w:t>Dumanoski</w:t>
      </w:r>
      <w:proofErr w:type="spellEnd"/>
      <w:r w:rsidRPr="009C443A">
        <w:rPr>
          <w:snapToGrid w:val="0"/>
        </w:rPr>
        <w:t xml:space="preserve"> and John Peterson Myers.</w:t>
      </w:r>
      <w:proofErr w:type="gramEnd"/>
      <w:r w:rsidRPr="009C443A">
        <w:rPr>
          <w:snapToGrid w:val="0"/>
        </w:rPr>
        <w:t xml:space="preserve"> (1996)</w:t>
      </w:r>
      <w:proofErr w:type="gramStart"/>
      <w:r w:rsidRPr="009C443A">
        <w:rPr>
          <w:snapToGrid w:val="0"/>
        </w:rPr>
        <w:t>.  Our</w:t>
      </w:r>
      <w:proofErr w:type="gramEnd"/>
      <w:r w:rsidRPr="009C443A">
        <w:rPr>
          <w:snapToGrid w:val="0"/>
        </w:rPr>
        <w:t xml:space="preserve"> Stolen Future.  NY: </w:t>
      </w:r>
      <w:r w:rsidRPr="009C443A">
        <w:rPr>
          <w:snapToGrid w:val="0"/>
        </w:rPr>
        <w:tab/>
        <w:t>Plume.</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Eliason</w:t>
      </w:r>
      <w:proofErr w:type="spellEnd"/>
      <w:r w:rsidRPr="009C443A">
        <w:rPr>
          <w:snapToGrid w:val="0"/>
        </w:rPr>
        <w:t>, Stephen. 2012. "From the King's deer to a capitalist commodity: A social historical analysis of the poaching law." International Journal of Comparative and Applied Criminal Justice 36, 2: 133-148.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Ellefsen</w:t>
      </w:r>
      <w:proofErr w:type="spellEnd"/>
      <w:r w:rsidRPr="009C443A">
        <w:rPr>
          <w:snapToGrid w:val="0"/>
        </w:rPr>
        <w:t xml:space="preserve">, Rune, </w:t>
      </w:r>
      <w:proofErr w:type="spellStart"/>
      <w:r w:rsidRPr="009C443A">
        <w:rPr>
          <w:snapToGrid w:val="0"/>
        </w:rPr>
        <w:t>Ragnhild</w:t>
      </w:r>
      <w:proofErr w:type="spellEnd"/>
      <w:r w:rsidRPr="009C443A">
        <w:rPr>
          <w:snapToGrid w:val="0"/>
        </w:rPr>
        <w:t xml:space="preserve"> </w:t>
      </w:r>
      <w:proofErr w:type="spellStart"/>
      <w:r w:rsidRPr="009C443A">
        <w:rPr>
          <w:snapToGrid w:val="0"/>
        </w:rPr>
        <w:t>Sollund</w:t>
      </w:r>
      <w:proofErr w:type="spellEnd"/>
      <w:r w:rsidRPr="009C443A">
        <w:rPr>
          <w:snapToGrid w:val="0"/>
        </w:rPr>
        <w:t xml:space="preserve">, and </w:t>
      </w:r>
      <w:proofErr w:type="spellStart"/>
      <w:r w:rsidRPr="009C443A">
        <w:rPr>
          <w:snapToGrid w:val="0"/>
        </w:rPr>
        <w:t>Guri</w:t>
      </w:r>
      <w:proofErr w:type="spellEnd"/>
      <w:r w:rsidRPr="009C443A">
        <w:rPr>
          <w:snapToGrid w:val="0"/>
        </w:rPr>
        <w:t xml:space="preserve"> Larsen.</w:t>
      </w:r>
      <w:proofErr w:type="gramEnd"/>
      <w:r w:rsidRPr="009C443A">
        <w:rPr>
          <w:snapToGrid w:val="0"/>
        </w:rPr>
        <w:t xml:space="preserve"> (</w:t>
      </w:r>
      <w:proofErr w:type="spellStart"/>
      <w:proofErr w:type="gramStart"/>
      <w:r w:rsidRPr="009C443A">
        <w:rPr>
          <w:snapToGrid w:val="0"/>
        </w:rPr>
        <w:t>eds</w:t>
      </w:r>
      <w:proofErr w:type="spellEnd"/>
      <w:proofErr w:type="gramEnd"/>
      <w:r w:rsidRPr="009C443A">
        <w:rPr>
          <w:snapToGrid w:val="0"/>
        </w:rPr>
        <w:t xml:space="preserve">). 2012. Eco-global Crimes: Contemporary Problems and Future Challenges. </w:t>
      </w:r>
      <w:proofErr w:type="spellStart"/>
      <w:r w:rsidRPr="009C443A">
        <w:rPr>
          <w:snapToGrid w:val="0"/>
        </w:rPr>
        <w:t>Ashgate</w:t>
      </w:r>
      <w:proofErr w:type="spellEnd"/>
      <w:r w:rsidRPr="009C443A">
        <w:rPr>
          <w:snapToGrid w:val="0"/>
        </w:rPr>
        <w:t xml:space="preserve"> Publishing.</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Eman</w:t>
      </w:r>
      <w:proofErr w:type="spellEnd"/>
      <w:r w:rsidRPr="009C443A">
        <w:rPr>
          <w:snapToGrid w:val="0"/>
        </w:rPr>
        <w:t xml:space="preserve">, </w:t>
      </w:r>
      <w:proofErr w:type="spellStart"/>
      <w:r w:rsidRPr="009C443A">
        <w:rPr>
          <w:snapToGrid w:val="0"/>
        </w:rPr>
        <w:t>Katja</w:t>
      </w:r>
      <w:proofErr w:type="spellEnd"/>
      <w:r w:rsidRPr="009C443A">
        <w:rPr>
          <w:snapToGrid w:val="0"/>
        </w:rPr>
        <w:t xml:space="preserve">; </w:t>
      </w:r>
      <w:proofErr w:type="spellStart"/>
      <w:r w:rsidRPr="009C443A">
        <w:rPr>
          <w:snapToGrid w:val="0"/>
        </w:rPr>
        <w:t>Meško</w:t>
      </w:r>
      <w:proofErr w:type="spellEnd"/>
      <w:r w:rsidRPr="009C443A">
        <w:rPr>
          <w:snapToGrid w:val="0"/>
        </w:rPr>
        <w:t xml:space="preserve">, </w:t>
      </w:r>
      <w:proofErr w:type="spellStart"/>
      <w:r w:rsidRPr="009C443A">
        <w:rPr>
          <w:snapToGrid w:val="0"/>
        </w:rPr>
        <w:t>Gorazd</w:t>
      </w:r>
      <w:proofErr w:type="spellEnd"/>
      <w:r w:rsidRPr="009C443A">
        <w:rPr>
          <w:snapToGrid w:val="0"/>
        </w:rPr>
        <w:t xml:space="preserve">; </w:t>
      </w:r>
      <w:proofErr w:type="spellStart"/>
      <w:r w:rsidRPr="009C443A">
        <w:rPr>
          <w:snapToGrid w:val="0"/>
        </w:rPr>
        <w:t>Dobovšek</w:t>
      </w:r>
      <w:proofErr w:type="spellEnd"/>
      <w:r w:rsidRPr="009C443A">
        <w:rPr>
          <w:snapToGrid w:val="0"/>
        </w:rPr>
        <w:t xml:space="preserve">, </w:t>
      </w:r>
      <w:proofErr w:type="spellStart"/>
      <w:r w:rsidRPr="009C443A">
        <w:rPr>
          <w:snapToGrid w:val="0"/>
        </w:rPr>
        <w:t>Bojan</w:t>
      </w:r>
      <w:proofErr w:type="spellEnd"/>
      <w:r w:rsidRPr="009C443A">
        <w:rPr>
          <w:snapToGrid w:val="0"/>
        </w:rPr>
        <w:t xml:space="preserve">; </w:t>
      </w:r>
      <w:proofErr w:type="spellStart"/>
      <w:r w:rsidRPr="009C443A">
        <w:rPr>
          <w:snapToGrid w:val="0"/>
        </w:rPr>
        <w:t>Sotlar</w:t>
      </w:r>
      <w:proofErr w:type="spellEnd"/>
      <w:r w:rsidRPr="009C443A">
        <w:rPr>
          <w:snapToGrid w:val="0"/>
        </w:rPr>
        <w:t>, Andrej.</w:t>
      </w:r>
      <w:proofErr w:type="gramEnd"/>
      <w:r w:rsidRPr="009C443A">
        <w:rPr>
          <w:snapToGrid w:val="0"/>
        </w:rPr>
        <w:t xml:space="preserve"> 2013. Environmental crime and green criminology in South Eastern Europe: Practice and Research. Crime, Law &amp; Social Change, Vol. 59 Issue 3, p341-358.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Eman</w:t>
      </w:r>
      <w:proofErr w:type="spellEnd"/>
      <w:r w:rsidRPr="009C443A">
        <w:rPr>
          <w:snapToGrid w:val="0"/>
        </w:rPr>
        <w:t xml:space="preserve">, </w:t>
      </w:r>
      <w:proofErr w:type="spellStart"/>
      <w:r w:rsidRPr="009C443A">
        <w:rPr>
          <w:snapToGrid w:val="0"/>
        </w:rPr>
        <w:t>Katja</w:t>
      </w:r>
      <w:proofErr w:type="spellEnd"/>
      <w:r w:rsidRPr="009C443A">
        <w:rPr>
          <w:snapToGrid w:val="0"/>
        </w:rPr>
        <w:t xml:space="preserve">; and </w:t>
      </w:r>
      <w:proofErr w:type="spellStart"/>
      <w:r w:rsidRPr="009C443A">
        <w:rPr>
          <w:snapToGrid w:val="0"/>
        </w:rPr>
        <w:t>Gorazd</w:t>
      </w:r>
      <w:proofErr w:type="spellEnd"/>
      <w:r w:rsidRPr="009C443A">
        <w:rPr>
          <w:snapToGrid w:val="0"/>
        </w:rPr>
        <w:t xml:space="preserve"> </w:t>
      </w:r>
      <w:proofErr w:type="spellStart"/>
      <w:r w:rsidRPr="009C443A">
        <w:rPr>
          <w:snapToGrid w:val="0"/>
        </w:rPr>
        <w:t>Mesko</w:t>
      </w:r>
      <w:proofErr w:type="spellEnd"/>
      <w:r w:rsidRPr="009C443A">
        <w:rPr>
          <w:snapToGrid w:val="0"/>
        </w:rPr>
        <w:t>.</w:t>
      </w:r>
      <w:proofErr w:type="gramEnd"/>
      <w:r w:rsidRPr="009C443A">
        <w:rPr>
          <w:snapToGrid w:val="0"/>
        </w:rPr>
        <w:t xml:space="preserve">  2009. Green Criminology -- Attempt of Definition and Discussion. . </w:t>
      </w:r>
      <w:proofErr w:type="spellStart"/>
      <w:r w:rsidRPr="009C443A">
        <w:rPr>
          <w:snapToGrid w:val="0"/>
        </w:rPr>
        <w:t>Varstvoslovje</w:t>
      </w:r>
      <w:proofErr w:type="spellEnd"/>
      <w:r w:rsidRPr="009C443A">
        <w:rPr>
          <w:snapToGrid w:val="0"/>
        </w:rPr>
        <w:t xml:space="preserve"> 11, 3: 357-381</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Eman</w:t>
      </w:r>
      <w:proofErr w:type="spellEnd"/>
      <w:r w:rsidRPr="009C443A">
        <w:rPr>
          <w:snapToGrid w:val="0"/>
        </w:rPr>
        <w:t xml:space="preserve">, </w:t>
      </w:r>
      <w:proofErr w:type="spellStart"/>
      <w:r w:rsidRPr="009C443A">
        <w:rPr>
          <w:snapToGrid w:val="0"/>
        </w:rPr>
        <w:t>Katja</w:t>
      </w:r>
      <w:proofErr w:type="spellEnd"/>
      <w:r w:rsidRPr="009C443A">
        <w:rPr>
          <w:snapToGrid w:val="0"/>
        </w:rPr>
        <w:t xml:space="preserve">; </w:t>
      </w:r>
      <w:proofErr w:type="spellStart"/>
      <w:r w:rsidRPr="009C443A">
        <w:rPr>
          <w:snapToGrid w:val="0"/>
        </w:rPr>
        <w:t>Gorazd</w:t>
      </w:r>
      <w:proofErr w:type="spellEnd"/>
      <w:r w:rsidRPr="009C443A">
        <w:rPr>
          <w:snapToGrid w:val="0"/>
        </w:rPr>
        <w:t xml:space="preserve"> </w:t>
      </w:r>
      <w:proofErr w:type="spellStart"/>
      <w:r w:rsidRPr="009C443A">
        <w:rPr>
          <w:snapToGrid w:val="0"/>
        </w:rPr>
        <w:t>Mesko</w:t>
      </w:r>
      <w:proofErr w:type="spellEnd"/>
      <w:r w:rsidRPr="009C443A">
        <w:rPr>
          <w:snapToGrid w:val="0"/>
        </w:rPr>
        <w:t xml:space="preserve"> and Charles Fields.</w:t>
      </w:r>
      <w:proofErr w:type="gramEnd"/>
      <w:r w:rsidRPr="009C443A">
        <w:rPr>
          <w:snapToGrid w:val="0"/>
        </w:rPr>
        <w:t xml:space="preserve"> 2009. Crimes against the Environment: Green Criminology and Research Challenges in Slovenia. </w:t>
      </w:r>
      <w:proofErr w:type="spellStart"/>
      <w:r w:rsidRPr="009C443A">
        <w:rPr>
          <w:snapToGrid w:val="0"/>
        </w:rPr>
        <w:t>Varstvoslovje</w:t>
      </w:r>
      <w:proofErr w:type="spellEnd"/>
      <w:r w:rsidRPr="009C443A">
        <w:rPr>
          <w:snapToGrid w:val="0"/>
        </w:rPr>
        <w:t xml:space="preserve"> 11, 4: 574-592.</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Enticott</w:t>
      </w:r>
      <w:proofErr w:type="spellEnd"/>
      <w:r w:rsidRPr="009C443A">
        <w:rPr>
          <w:snapToGrid w:val="0"/>
        </w:rPr>
        <w:t xml:space="preserve">, Gareth. 2011. "Techniques of </w:t>
      </w:r>
      <w:proofErr w:type="spellStart"/>
      <w:r w:rsidRPr="009C443A">
        <w:rPr>
          <w:snapToGrid w:val="0"/>
        </w:rPr>
        <w:t>neutralising</w:t>
      </w:r>
      <w:proofErr w:type="spellEnd"/>
      <w:r w:rsidRPr="009C443A">
        <w:rPr>
          <w:snapToGrid w:val="0"/>
        </w:rPr>
        <w:t xml:space="preserve"> wildlife crime in rural England and Wales." Journal of Rural Studies 27, 2: 200-208.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Fitgerald</w:t>
      </w:r>
      <w:proofErr w:type="spellEnd"/>
      <w:r w:rsidRPr="009C443A">
        <w:rPr>
          <w:snapToGrid w:val="0"/>
        </w:rPr>
        <w:t xml:space="preserve">, Amy J. 2010. </w:t>
      </w:r>
      <w:proofErr w:type="gramStart"/>
      <w:r w:rsidRPr="009C443A">
        <w:rPr>
          <w:snapToGrid w:val="0"/>
        </w:rPr>
        <w:t>The 'Underdog' as 'Ideal Victim'?</w:t>
      </w:r>
      <w:proofErr w:type="gramEnd"/>
      <w:r w:rsidRPr="009C443A">
        <w:rPr>
          <w:snapToGrid w:val="0"/>
        </w:rPr>
        <w:t xml:space="preserve"> </w:t>
      </w:r>
      <w:proofErr w:type="gramStart"/>
      <w:r w:rsidRPr="009C443A">
        <w:rPr>
          <w:snapToGrid w:val="0"/>
        </w:rPr>
        <w:t>The Attribution of Victimhood in the 2007 Pet Food Recall.</w:t>
      </w:r>
      <w:proofErr w:type="gramEnd"/>
      <w:r w:rsidRPr="009C443A">
        <w:rPr>
          <w:snapToGrid w:val="0"/>
        </w:rPr>
        <w:t xml:space="preserve"> International Review of </w:t>
      </w:r>
      <w:proofErr w:type="spellStart"/>
      <w:r w:rsidRPr="009C443A">
        <w:rPr>
          <w:snapToGrid w:val="0"/>
        </w:rPr>
        <w:t>Victimology</w:t>
      </w:r>
      <w:proofErr w:type="spellEnd"/>
      <w:r w:rsidRPr="009C443A">
        <w:rPr>
          <w:snapToGrid w:val="0"/>
        </w:rPr>
        <w:t xml:space="preserve"> 17, 2: 131-157.</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 xml:space="preserve">Fitzgerald, Amy, and Lori B. </w:t>
      </w:r>
      <w:proofErr w:type="spellStart"/>
      <w:r w:rsidRPr="009C443A">
        <w:rPr>
          <w:snapToGrid w:val="0"/>
        </w:rPr>
        <w:t>Baralt</w:t>
      </w:r>
      <w:proofErr w:type="spellEnd"/>
      <w:r w:rsidRPr="009C443A">
        <w:rPr>
          <w:snapToGrid w:val="0"/>
        </w:rPr>
        <w:t>.</w:t>
      </w:r>
      <w:proofErr w:type="gramEnd"/>
      <w:r w:rsidRPr="009C443A">
        <w:rPr>
          <w:snapToGrid w:val="0"/>
        </w:rPr>
        <w:t xml:space="preserve">  2010.  Media Constructions of Responsibility for the Production and Mitigation of Environmental Harms: The Case of Mercury-Contaminated Fish.   Canadian Journal of Criminology and Criminal Justice 52, 4: 341-368.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Foster, John Bellamy, and Brett Clark. "Ecological imperialism: The curse of capitalism." Socialist register (2003): 186-201.</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 xml:space="preserve">Gibbs, Carole, Meredith L. Gore, Edmund </w:t>
      </w:r>
      <w:proofErr w:type="spellStart"/>
      <w:r w:rsidRPr="009C443A">
        <w:rPr>
          <w:snapToGrid w:val="0"/>
        </w:rPr>
        <w:t>McGarrell</w:t>
      </w:r>
      <w:proofErr w:type="spellEnd"/>
      <w:r w:rsidRPr="009C443A">
        <w:rPr>
          <w:snapToGrid w:val="0"/>
        </w:rPr>
        <w:t xml:space="preserve"> and Louie Rivers III.</w:t>
      </w:r>
      <w:proofErr w:type="gramEnd"/>
      <w:r w:rsidRPr="009C443A">
        <w:rPr>
          <w:snapToGrid w:val="0"/>
        </w:rPr>
        <w:t xml:space="preserve"> 2010. Introducing Conservation Criminology. British Journal of Criminology</w:t>
      </w:r>
      <w:proofErr w:type="gramStart"/>
      <w:r w:rsidRPr="009C443A">
        <w:rPr>
          <w:snapToGrid w:val="0"/>
        </w:rPr>
        <w:t>,  50</w:t>
      </w:r>
      <w:proofErr w:type="gramEnd"/>
      <w:r w:rsidRPr="009C443A">
        <w:rPr>
          <w:snapToGrid w:val="0"/>
        </w:rPr>
        <w:t>, 1: 124-144.</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Green, Penny, Tony Ward, and Kirsten McConnachie.2007.</w:t>
      </w:r>
      <w:proofErr w:type="gramEnd"/>
      <w:r w:rsidRPr="009C443A">
        <w:rPr>
          <w:snapToGrid w:val="0"/>
        </w:rPr>
        <w:t xml:space="preserve">  "Logging and Legality: Environmental Crime, Civil Society, and the State." Social Justice 34, 2: 94-110.</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Groombridge</w:t>
      </w:r>
      <w:proofErr w:type="spellEnd"/>
      <w:r w:rsidRPr="009C443A">
        <w:rPr>
          <w:snapToGrid w:val="0"/>
        </w:rPr>
        <w:t xml:space="preserve">, Nic. 1998. </w:t>
      </w:r>
      <w:proofErr w:type="gramStart"/>
      <w:r w:rsidRPr="009C443A">
        <w:rPr>
          <w:snapToGrid w:val="0"/>
        </w:rPr>
        <w:t>"Masculinities and crimes against the environment."</w:t>
      </w:r>
      <w:proofErr w:type="gramEnd"/>
      <w:r w:rsidRPr="009C443A">
        <w:rPr>
          <w:snapToGrid w:val="0"/>
        </w:rPr>
        <w:t xml:space="preserve"> Theoretical Criminology 2, 2: 249-267.</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Hallsworth</w:t>
      </w:r>
      <w:proofErr w:type="spellEnd"/>
      <w:r w:rsidRPr="009C443A">
        <w:rPr>
          <w:snapToGrid w:val="0"/>
        </w:rPr>
        <w:t>, Simon.2011.  "Then they came for the dogs</w:t>
      </w:r>
      <w:proofErr w:type="gramStart"/>
      <w:r w:rsidRPr="009C443A">
        <w:rPr>
          <w:snapToGrid w:val="0"/>
        </w:rPr>
        <w:t>!.</w:t>
      </w:r>
      <w:proofErr w:type="gramEnd"/>
      <w:r w:rsidRPr="009C443A">
        <w:rPr>
          <w:snapToGrid w:val="0"/>
        </w:rPr>
        <w:t>" Crime, law and social change 55, 5: 391-403.</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Halsey, Mark. 2004. </w:t>
      </w:r>
      <w:proofErr w:type="gramStart"/>
      <w:r w:rsidRPr="009C443A">
        <w:rPr>
          <w:snapToGrid w:val="0"/>
        </w:rPr>
        <w:t>Against</w:t>
      </w:r>
      <w:proofErr w:type="gramEnd"/>
      <w:r w:rsidRPr="009C443A">
        <w:rPr>
          <w:snapToGrid w:val="0"/>
        </w:rPr>
        <w:t xml:space="preserve"> ‘Green’ Criminology.  British Journal of Criminology, 44, 6: 833-853.</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Hauck, Maria. "Crime, environment and power: revisiting the abalone fishery." S. Afr. J. Crim. Just. 22 (2009): 229.</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Hauck, Maria. 2008.  "Rethinking small-scale fisheries compliance." Marine Policy 32, </w:t>
      </w:r>
      <w:r w:rsidRPr="009C443A">
        <w:rPr>
          <w:snapToGrid w:val="0"/>
        </w:rPr>
        <w:tab/>
        <w:t>4: 635-642.</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 xml:space="preserve">Jarrell, Melissa L., and Joshua </w:t>
      </w:r>
      <w:proofErr w:type="spellStart"/>
      <w:r w:rsidRPr="009C443A">
        <w:rPr>
          <w:snapToGrid w:val="0"/>
        </w:rPr>
        <w:t>Ozymy</w:t>
      </w:r>
      <w:proofErr w:type="spellEnd"/>
      <w:r w:rsidRPr="009C443A">
        <w:rPr>
          <w:snapToGrid w:val="0"/>
        </w:rPr>
        <w:t>.</w:t>
      </w:r>
      <w:proofErr w:type="gramEnd"/>
      <w:r w:rsidRPr="009C443A">
        <w:rPr>
          <w:snapToGrid w:val="0"/>
        </w:rPr>
        <w:t xml:space="preserve"> 2012. "Real crime, real victims: environmental crime </w:t>
      </w:r>
      <w:r w:rsidRPr="009C443A">
        <w:rPr>
          <w:snapToGrid w:val="0"/>
        </w:rPr>
        <w:lastRenderedPageBreak/>
        <w:t>victims and the Crime Victims’ Rights Act (CVRA)." Crime, law and social change 58, 4: 373-389.</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Jodoin</w:t>
      </w:r>
      <w:proofErr w:type="spellEnd"/>
      <w:r w:rsidRPr="009C443A">
        <w:rPr>
          <w:snapToGrid w:val="0"/>
        </w:rPr>
        <w:t xml:space="preserve">, </w:t>
      </w:r>
      <w:proofErr w:type="spellStart"/>
      <w:r w:rsidRPr="009C443A">
        <w:rPr>
          <w:snapToGrid w:val="0"/>
        </w:rPr>
        <w:t>Sébastien</w:t>
      </w:r>
      <w:proofErr w:type="spellEnd"/>
      <w:r w:rsidRPr="009C443A">
        <w:rPr>
          <w:snapToGrid w:val="0"/>
        </w:rPr>
        <w:t>, and Yolanda Saito.</w:t>
      </w:r>
      <w:proofErr w:type="gramEnd"/>
      <w:r w:rsidRPr="009C443A">
        <w:rPr>
          <w:snapToGrid w:val="0"/>
        </w:rPr>
        <w:t xml:space="preserve"> 2011. Crimes </w:t>
      </w:r>
      <w:proofErr w:type="gramStart"/>
      <w:r w:rsidRPr="009C443A">
        <w:rPr>
          <w:snapToGrid w:val="0"/>
        </w:rPr>
        <w:t>Against</w:t>
      </w:r>
      <w:proofErr w:type="gramEnd"/>
      <w:r w:rsidRPr="009C443A">
        <w:rPr>
          <w:snapToGrid w:val="0"/>
        </w:rPr>
        <w:t xml:space="preserve"> Future Generations: Harnessing the Potential of Individual Criminal Accountability for Global Sustainability. </w:t>
      </w:r>
      <w:proofErr w:type="spellStart"/>
      <w:r w:rsidRPr="009C443A">
        <w:rPr>
          <w:snapToGrid w:val="0"/>
        </w:rPr>
        <w:t>Université</w:t>
      </w:r>
      <w:proofErr w:type="spellEnd"/>
      <w:r w:rsidRPr="009C443A">
        <w:rPr>
          <w:snapToGrid w:val="0"/>
        </w:rPr>
        <w:t xml:space="preserve"> McGill, </w:t>
      </w:r>
      <w:proofErr w:type="spellStart"/>
      <w:r w:rsidRPr="009C443A">
        <w:rPr>
          <w:snapToGrid w:val="0"/>
        </w:rPr>
        <w:t>Faculté</w:t>
      </w:r>
      <w:proofErr w:type="spellEnd"/>
      <w:r w:rsidRPr="009C443A">
        <w:rPr>
          <w:snapToGrid w:val="0"/>
        </w:rPr>
        <w:t xml:space="preserve"> de </w:t>
      </w:r>
      <w:proofErr w:type="spellStart"/>
      <w:r w:rsidRPr="009C443A">
        <w:rPr>
          <w:snapToGrid w:val="0"/>
        </w:rPr>
        <w:t>Droit</w:t>
      </w:r>
      <w:proofErr w:type="spellEnd"/>
      <w:r w:rsidRPr="009C443A">
        <w:rPr>
          <w:snapToGrid w:val="0"/>
        </w:rPr>
        <w:t>.</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Kalof</w:t>
      </w:r>
      <w:proofErr w:type="spellEnd"/>
      <w:r w:rsidRPr="009C443A">
        <w:rPr>
          <w:snapToGrid w:val="0"/>
        </w:rPr>
        <w:t>, Linda, and Carl Taylor.</w:t>
      </w:r>
      <w:proofErr w:type="gramEnd"/>
      <w:r w:rsidRPr="009C443A">
        <w:rPr>
          <w:snapToGrid w:val="0"/>
        </w:rPr>
        <w:t xml:space="preserve"> 2007. "The discourse of dog fighting." Humanity &amp; Society 31</w:t>
      </w:r>
      <w:proofErr w:type="gramStart"/>
      <w:r w:rsidRPr="009C443A">
        <w:rPr>
          <w:snapToGrid w:val="0"/>
        </w:rPr>
        <w:t>,  4</w:t>
      </w:r>
      <w:proofErr w:type="gramEnd"/>
      <w:r w:rsidRPr="009C443A">
        <w:rPr>
          <w:snapToGrid w:val="0"/>
        </w:rPr>
        <w:t>: 319-333.</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Katz, Rebecca S. 2012. "Environmental pollution: corporate crime and cancer mortality." Contemporary Justice Review 15, 1: 97-125.</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Katz, Rebecca S. 2010. </w:t>
      </w:r>
      <w:proofErr w:type="gramStart"/>
      <w:r w:rsidRPr="009C443A">
        <w:rPr>
          <w:snapToGrid w:val="0"/>
        </w:rPr>
        <w:t>"The corporate crimes of Dow chemical and the failure to regulate environmental pollution."</w:t>
      </w:r>
      <w:proofErr w:type="gramEnd"/>
      <w:r w:rsidRPr="009C443A">
        <w:rPr>
          <w:snapToGrid w:val="0"/>
        </w:rPr>
        <w:t xml:space="preserve"> Critical Criminology 18, 4: 295-306.</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Kramer, Ronald C. "Carbon in the atmosphere and power in America: climate change as state-corporate crime." Journal of Crime and Justice ahead-of-print (2012): 1-18.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Lane, Pauline. 1998. "Ecofeminism meets criminology." Theoretical Criminology 2, 2: 235-248.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Lewis, Bridget. 2012. "Human rights and environmental wrongs: achieving environmental justice through human rights law." International Journal for Crime and Justice 1, 1: 65-73.</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Lynch, Michael J., and Paul B. </w:t>
      </w:r>
      <w:proofErr w:type="spellStart"/>
      <w:r w:rsidRPr="009C443A">
        <w:rPr>
          <w:snapToGrid w:val="0"/>
        </w:rPr>
        <w:t>Stretesky</w:t>
      </w:r>
      <w:proofErr w:type="spellEnd"/>
      <w:r w:rsidRPr="009C443A">
        <w:rPr>
          <w:snapToGrid w:val="0"/>
        </w:rPr>
        <w:t xml:space="preserve">. 2013. The Distribution of Water-Monitoring Organizations </w:t>
      </w:r>
      <w:proofErr w:type="gramStart"/>
      <w:r w:rsidRPr="009C443A">
        <w:rPr>
          <w:snapToGrid w:val="0"/>
        </w:rPr>
        <w:t>Across</w:t>
      </w:r>
      <w:proofErr w:type="gramEnd"/>
      <w:r w:rsidRPr="009C443A">
        <w:rPr>
          <w:snapToGrid w:val="0"/>
        </w:rPr>
        <w:t xml:space="preserve"> States: Implications for Community Policing.  Policing: An International Journal of Police Strategies and </w:t>
      </w:r>
      <w:proofErr w:type="gramStart"/>
      <w:r w:rsidRPr="009C443A">
        <w:rPr>
          <w:snapToGrid w:val="0"/>
        </w:rPr>
        <w:t>Management  36,1</w:t>
      </w:r>
      <w:proofErr w:type="gramEnd"/>
      <w:r w:rsidRPr="009C443A">
        <w:rPr>
          <w:snapToGrid w:val="0"/>
        </w:rPr>
        <w:t xml:space="preserve">: 6-26.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Lynch, Michael J., Paul B. </w:t>
      </w:r>
      <w:proofErr w:type="spellStart"/>
      <w:r w:rsidRPr="009C443A">
        <w:rPr>
          <w:snapToGrid w:val="0"/>
        </w:rPr>
        <w:t>Stretesky</w:t>
      </w:r>
      <w:proofErr w:type="spellEnd"/>
      <w:r w:rsidRPr="009C443A">
        <w:rPr>
          <w:snapToGrid w:val="0"/>
        </w:rPr>
        <w:t xml:space="preserve"> and Paul Hammond.  2000.  “Media Coverage of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Chemical Crimes: Hillsborough County, Florida, 1987-1997.”  </w:t>
      </w:r>
      <w:proofErr w:type="gramStart"/>
      <w:r w:rsidRPr="009C443A">
        <w:rPr>
          <w:snapToGrid w:val="0"/>
        </w:rPr>
        <w:t>British Journal of Criminology.</w:t>
      </w:r>
      <w:proofErr w:type="gramEnd"/>
      <w:r w:rsidRPr="009C443A">
        <w:rPr>
          <w:snapToGrid w:val="0"/>
        </w:rPr>
        <w:t xml:space="preserve"> 40</w:t>
      </w:r>
      <w:proofErr w:type="gramStart"/>
      <w:r w:rsidRPr="009C443A">
        <w:rPr>
          <w:snapToGrid w:val="0"/>
        </w:rPr>
        <w:t>,1:112</w:t>
      </w:r>
      <w:proofErr w:type="gramEnd"/>
      <w:r w:rsidRPr="009C443A">
        <w:rPr>
          <w:snapToGrid w:val="0"/>
        </w:rPr>
        <w:t xml:space="preserve">-126.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Mares, Dennis. </w:t>
      </w:r>
      <w:proofErr w:type="gramStart"/>
      <w:r w:rsidRPr="009C443A">
        <w:rPr>
          <w:snapToGrid w:val="0"/>
        </w:rPr>
        <w:t>"Criminalizing ecological harm: Crimes against carrying capacity and the criminalization of eco-sinners."</w:t>
      </w:r>
      <w:proofErr w:type="gramEnd"/>
      <w:r w:rsidRPr="009C443A">
        <w:rPr>
          <w:snapToGrid w:val="0"/>
        </w:rPr>
        <w:t xml:space="preserve"> Critical Criminology 18, no. 4 (2010): 279-293.</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Nurse, Angus. 2013. Animal Harm: Perspectives on why People Harm and Kill Animals. </w:t>
      </w:r>
      <w:proofErr w:type="gramStart"/>
      <w:r w:rsidRPr="009C443A">
        <w:rPr>
          <w:snapToGrid w:val="0"/>
        </w:rPr>
        <w:t>Lund Humphries Publishers.</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Oksanen</w:t>
      </w:r>
      <w:proofErr w:type="spellEnd"/>
      <w:r w:rsidRPr="009C443A">
        <w:rPr>
          <w:snapToGrid w:val="0"/>
        </w:rPr>
        <w:t xml:space="preserve">, </w:t>
      </w:r>
      <w:proofErr w:type="spellStart"/>
      <w:r w:rsidRPr="009C443A">
        <w:rPr>
          <w:snapToGrid w:val="0"/>
        </w:rPr>
        <w:t>Markku</w:t>
      </w:r>
      <w:proofErr w:type="spellEnd"/>
      <w:r w:rsidRPr="009C443A">
        <w:rPr>
          <w:snapToGrid w:val="0"/>
        </w:rPr>
        <w:t xml:space="preserve">. 2012. "Should trees have standing? </w:t>
      </w:r>
      <w:proofErr w:type="gramStart"/>
      <w:r w:rsidRPr="009C443A">
        <w:rPr>
          <w:snapToGrid w:val="0"/>
        </w:rPr>
        <w:t>Law, morality, and the environment."</w:t>
      </w:r>
      <w:proofErr w:type="gramEnd"/>
      <w:r w:rsidRPr="009C443A">
        <w:rPr>
          <w:snapToGrid w:val="0"/>
        </w:rPr>
        <w:t xml:space="preserve"> Environmental Politics 21, 1: 174-175.</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Pires</w:t>
      </w:r>
      <w:proofErr w:type="spellEnd"/>
      <w:r w:rsidRPr="009C443A">
        <w:rPr>
          <w:snapToGrid w:val="0"/>
        </w:rPr>
        <w:t>, Stephen F., and Ronald V. Clarke.</w:t>
      </w:r>
      <w:proofErr w:type="gramEnd"/>
      <w:r w:rsidRPr="009C443A">
        <w:rPr>
          <w:snapToGrid w:val="0"/>
        </w:rPr>
        <w:t xml:space="preserve"> 2011. "Sequential foraging, itinerant fences and parrot poaching in Bolivia." British Journal of Criminology 51, 2: 314-335.</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Rivers III, Louie, and Carole Gibbs.</w:t>
      </w:r>
      <w:proofErr w:type="gramEnd"/>
      <w:r w:rsidRPr="009C443A">
        <w:rPr>
          <w:snapToGrid w:val="0"/>
        </w:rPr>
        <w:t xml:space="preserve"> 2011. "Applying a conservation-criminology framework </w:t>
      </w:r>
      <w:r w:rsidRPr="009C443A">
        <w:rPr>
          <w:snapToGrid w:val="0"/>
        </w:rPr>
        <w:lastRenderedPageBreak/>
        <w:t>to common-pool natural-resource issues." International Journal of Comparative and Applied Criminal Justice 35, 4: 327-346.</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Ruggiero, Vincenzo and Nigel South.</w:t>
      </w:r>
      <w:proofErr w:type="gramEnd"/>
      <w:r w:rsidRPr="009C443A">
        <w:rPr>
          <w:snapToGrid w:val="0"/>
        </w:rPr>
        <w:t xml:space="preserve"> 2010.  Green Criminology and Dirty Collar Crime. Critical </w:t>
      </w:r>
      <w:proofErr w:type="gramStart"/>
      <w:r w:rsidRPr="009C443A">
        <w:rPr>
          <w:snapToGrid w:val="0"/>
        </w:rPr>
        <w:t>Criminology  18</w:t>
      </w:r>
      <w:proofErr w:type="gramEnd"/>
      <w:r w:rsidRPr="009C443A">
        <w:rPr>
          <w:snapToGrid w:val="0"/>
        </w:rPr>
        <w:t>, 4: 251-262.</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Sollund</w:t>
      </w:r>
      <w:proofErr w:type="spellEnd"/>
      <w:r w:rsidRPr="009C443A">
        <w:rPr>
          <w:snapToGrid w:val="0"/>
        </w:rPr>
        <w:t xml:space="preserve">, </w:t>
      </w:r>
      <w:proofErr w:type="spellStart"/>
      <w:r w:rsidRPr="009C443A">
        <w:rPr>
          <w:snapToGrid w:val="0"/>
        </w:rPr>
        <w:t>Ragnhild</w:t>
      </w:r>
      <w:proofErr w:type="spellEnd"/>
      <w:r w:rsidRPr="009C443A">
        <w:rPr>
          <w:snapToGrid w:val="0"/>
        </w:rPr>
        <w:t xml:space="preserve">. 2011. "Expressions of </w:t>
      </w:r>
      <w:proofErr w:type="spellStart"/>
      <w:r w:rsidRPr="009C443A">
        <w:rPr>
          <w:snapToGrid w:val="0"/>
        </w:rPr>
        <w:t>speciesism</w:t>
      </w:r>
      <w:proofErr w:type="spellEnd"/>
      <w:r w:rsidRPr="009C443A">
        <w:rPr>
          <w:snapToGrid w:val="0"/>
        </w:rPr>
        <w:t>: the effects of keeping companion animals on animal abuse, animal trafficking and species decline." Crime, law and social change 55, 5: 437-451.</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 xml:space="preserve">South, Nigel, and </w:t>
      </w:r>
      <w:proofErr w:type="spellStart"/>
      <w:r w:rsidRPr="009C443A">
        <w:rPr>
          <w:snapToGrid w:val="0"/>
        </w:rPr>
        <w:t>Avi</w:t>
      </w:r>
      <w:proofErr w:type="spellEnd"/>
      <w:r w:rsidRPr="009C443A">
        <w:rPr>
          <w:snapToGrid w:val="0"/>
        </w:rPr>
        <w:t xml:space="preserve"> </w:t>
      </w:r>
      <w:proofErr w:type="spellStart"/>
      <w:r w:rsidRPr="009C443A">
        <w:rPr>
          <w:snapToGrid w:val="0"/>
        </w:rPr>
        <w:t>Brisman</w:t>
      </w:r>
      <w:proofErr w:type="spellEnd"/>
      <w:r w:rsidRPr="009C443A">
        <w:rPr>
          <w:snapToGrid w:val="0"/>
        </w:rPr>
        <w:t>, eds. 2012.</w:t>
      </w:r>
      <w:proofErr w:type="gramEnd"/>
      <w:r w:rsidRPr="009C443A">
        <w:rPr>
          <w:snapToGrid w:val="0"/>
        </w:rPr>
        <w:t xml:space="preserve"> </w:t>
      </w:r>
      <w:proofErr w:type="spellStart"/>
      <w:proofErr w:type="gramStart"/>
      <w:r w:rsidRPr="009C443A">
        <w:rPr>
          <w:snapToGrid w:val="0"/>
        </w:rPr>
        <w:t>Routledge</w:t>
      </w:r>
      <w:proofErr w:type="spellEnd"/>
      <w:r w:rsidRPr="009C443A">
        <w:rPr>
          <w:snapToGrid w:val="0"/>
        </w:rPr>
        <w:t xml:space="preserve"> International Handbook of Green Criminology.</w:t>
      </w:r>
      <w:proofErr w:type="gramEnd"/>
      <w:r w:rsidRPr="009C443A">
        <w:rPr>
          <w:snapToGrid w:val="0"/>
        </w:rPr>
        <w:t xml:space="preserve"> </w:t>
      </w:r>
      <w:proofErr w:type="spellStart"/>
      <w:proofErr w:type="gramStart"/>
      <w:r w:rsidRPr="009C443A">
        <w:rPr>
          <w:snapToGrid w:val="0"/>
        </w:rPr>
        <w:t>Routledge</w:t>
      </w:r>
      <w:proofErr w:type="spellEnd"/>
      <w:r w:rsidRPr="009C443A">
        <w:rPr>
          <w:snapToGrid w:val="0"/>
        </w:rPr>
        <w:t>.</w:t>
      </w:r>
      <w:proofErr w:type="gramEnd"/>
      <w:r w:rsidRPr="009C443A">
        <w:rPr>
          <w:snapToGrid w:val="0"/>
        </w:rPr>
        <w:t xml:space="preserve">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South, Nigel, and Tanya Wyatt.</w:t>
      </w:r>
      <w:proofErr w:type="gramEnd"/>
      <w:r w:rsidRPr="009C443A">
        <w:rPr>
          <w:snapToGrid w:val="0"/>
        </w:rPr>
        <w:t xml:space="preserve"> 2011. "Comparing illicit trades in wildlife and drugs: an exploratory study." Deviant Behavior 32, 6: 538-561.</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Stretesky</w:t>
      </w:r>
      <w:proofErr w:type="spellEnd"/>
      <w:r w:rsidRPr="009C443A">
        <w:rPr>
          <w:snapToGrid w:val="0"/>
        </w:rPr>
        <w:t>, Paul B., and Michael J. Lynch.</w:t>
      </w:r>
      <w:proofErr w:type="gramEnd"/>
      <w:r w:rsidRPr="009C443A">
        <w:rPr>
          <w:snapToGrid w:val="0"/>
        </w:rPr>
        <w:t xml:space="preserve">  2001.”The Relationship </w:t>
      </w:r>
      <w:proofErr w:type="gramStart"/>
      <w:r w:rsidRPr="009C443A">
        <w:rPr>
          <w:snapToGrid w:val="0"/>
        </w:rPr>
        <w:t>Between</w:t>
      </w:r>
      <w:proofErr w:type="gramEnd"/>
      <w:r w:rsidRPr="009C443A">
        <w:rPr>
          <w:snapToGrid w:val="0"/>
        </w:rPr>
        <w:t xml:space="preserve"> Lead </w:t>
      </w:r>
      <w:r w:rsidRPr="009C443A">
        <w:rPr>
          <w:snapToGrid w:val="0"/>
        </w:rPr>
        <w:tab/>
        <w:t xml:space="preserve">and Homicide.”  </w:t>
      </w:r>
      <w:proofErr w:type="gramStart"/>
      <w:r w:rsidRPr="009C443A">
        <w:rPr>
          <w:snapToGrid w:val="0"/>
        </w:rPr>
        <w:t>Archives of Pediatric and Adolescent Medicine.</w:t>
      </w:r>
      <w:proofErr w:type="gramEnd"/>
      <w:r w:rsidRPr="009C443A">
        <w:rPr>
          <w:snapToGrid w:val="0"/>
        </w:rPr>
        <w:t xml:space="preserve"> </w:t>
      </w:r>
      <w:proofErr w:type="gramStart"/>
      <w:r w:rsidRPr="009C443A">
        <w:rPr>
          <w:snapToGrid w:val="0"/>
        </w:rPr>
        <w:t>155, 5:579-</w:t>
      </w:r>
      <w:r w:rsidRPr="009C443A">
        <w:rPr>
          <w:snapToGrid w:val="0"/>
        </w:rPr>
        <w:tab/>
        <w:t>582.</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Stretesky</w:t>
      </w:r>
      <w:proofErr w:type="spellEnd"/>
      <w:r w:rsidRPr="009C443A">
        <w:rPr>
          <w:snapToGrid w:val="0"/>
        </w:rPr>
        <w:t>, Paul B., and Michael J. Lynch.</w:t>
      </w:r>
      <w:proofErr w:type="gramEnd"/>
      <w:r w:rsidRPr="009C443A">
        <w:rPr>
          <w:snapToGrid w:val="0"/>
        </w:rPr>
        <w:t xml:space="preserve"> 2009.  “A Cross-National Study of the Association </w:t>
      </w:r>
      <w:proofErr w:type="gramStart"/>
      <w:r w:rsidRPr="009C443A">
        <w:rPr>
          <w:snapToGrid w:val="0"/>
        </w:rPr>
        <w:t>Between</w:t>
      </w:r>
      <w:proofErr w:type="gramEnd"/>
      <w:r w:rsidRPr="009C443A">
        <w:rPr>
          <w:snapToGrid w:val="0"/>
        </w:rPr>
        <w:t xml:space="preserve"> Per Capita Carbon Dioxide Emissions and Exports to the United States.”  </w:t>
      </w:r>
      <w:proofErr w:type="gramStart"/>
      <w:r w:rsidRPr="009C443A">
        <w:rPr>
          <w:snapToGrid w:val="0"/>
        </w:rPr>
        <w:t>Social Science Research.</w:t>
      </w:r>
      <w:proofErr w:type="gramEnd"/>
      <w:r w:rsidRPr="009C443A">
        <w:rPr>
          <w:snapToGrid w:val="0"/>
        </w:rPr>
        <w:t xml:space="preserve">  38:239-250.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Stretesky</w:t>
      </w:r>
      <w:proofErr w:type="spellEnd"/>
      <w:r w:rsidRPr="009C443A">
        <w:rPr>
          <w:snapToGrid w:val="0"/>
        </w:rPr>
        <w:t>, Paul, Sheila Huss and Michael J. Lynch.</w:t>
      </w:r>
      <w:proofErr w:type="gramEnd"/>
      <w:r w:rsidRPr="009C443A">
        <w:rPr>
          <w:snapToGrid w:val="0"/>
        </w:rPr>
        <w:t xml:space="preserve"> 2012.  “Density Dependence and Specialized Environmental Justice Organizations, 1970-2008.”  The Social</w:t>
      </w:r>
      <w:r w:rsidRPr="009C443A">
        <w:rPr>
          <w:snapToGrid w:val="0"/>
        </w:rPr>
        <w:tab/>
        <w:t xml:space="preserve">Science </w:t>
      </w:r>
      <w:proofErr w:type="gramStart"/>
      <w:r w:rsidRPr="009C443A">
        <w:rPr>
          <w:snapToGrid w:val="0"/>
        </w:rPr>
        <w:t>Journal  49,3</w:t>
      </w:r>
      <w:proofErr w:type="gramEnd"/>
      <w:r w:rsidRPr="009C443A">
        <w:rPr>
          <w:snapToGrid w:val="0"/>
        </w:rPr>
        <w:t xml:space="preserve">: 343-51.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proofErr w:type="gramStart"/>
      <w:r w:rsidRPr="009C443A">
        <w:rPr>
          <w:snapToGrid w:val="0"/>
        </w:rPr>
        <w:t>Stretesky</w:t>
      </w:r>
      <w:proofErr w:type="spellEnd"/>
      <w:r w:rsidRPr="009C443A">
        <w:rPr>
          <w:snapToGrid w:val="0"/>
        </w:rPr>
        <w:t xml:space="preserve">, Paul B., Shelia Huss, Michael J. Lynch, Sammy </w:t>
      </w:r>
      <w:proofErr w:type="spellStart"/>
      <w:r w:rsidRPr="009C443A">
        <w:rPr>
          <w:snapToGrid w:val="0"/>
        </w:rPr>
        <w:t>Zahran</w:t>
      </w:r>
      <w:proofErr w:type="spellEnd"/>
      <w:r w:rsidRPr="009C443A">
        <w:rPr>
          <w:snapToGrid w:val="0"/>
        </w:rPr>
        <w:t xml:space="preserve"> and Bob </w:t>
      </w:r>
      <w:r w:rsidRPr="009C443A">
        <w:rPr>
          <w:snapToGrid w:val="0"/>
        </w:rPr>
        <w:tab/>
        <w:t>Childs.</w:t>
      </w:r>
      <w:proofErr w:type="gramEnd"/>
      <w:r w:rsidRPr="009C443A">
        <w:rPr>
          <w:snapToGrid w:val="0"/>
        </w:rPr>
        <w:t xml:space="preserve">  2011. “The Founding of Environmental Justice Organizations Across US Counties During the 1990s and 2000s: Civil Rights and Environmental Movement Cross Effects.”  Social Problems 58</w:t>
      </w:r>
      <w:proofErr w:type="gramStart"/>
      <w:r w:rsidRPr="009C443A">
        <w:rPr>
          <w:snapToGrid w:val="0"/>
        </w:rPr>
        <w:t>,3</w:t>
      </w:r>
      <w:proofErr w:type="gramEnd"/>
      <w:r w:rsidRPr="009C443A">
        <w:rPr>
          <w:snapToGrid w:val="0"/>
        </w:rPr>
        <w:t>: 330-360.</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van</w:t>
      </w:r>
      <w:proofErr w:type="gramEnd"/>
      <w:r w:rsidRPr="009C443A">
        <w:rPr>
          <w:snapToGrid w:val="0"/>
        </w:rPr>
        <w:t xml:space="preserve"> </w:t>
      </w:r>
      <w:proofErr w:type="spellStart"/>
      <w:r w:rsidRPr="009C443A">
        <w:rPr>
          <w:snapToGrid w:val="0"/>
        </w:rPr>
        <w:t>Solinge</w:t>
      </w:r>
      <w:proofErr w:type="spellEnd"/>
      <w:r w:rsidRPr="009C443A">
        <w:rPr>
          <w:snapToGrid w:val="0"/>
        </w:rPr>
        <w:t xml:space="preserve">, Tim </w:t>
      </w:r>
      <w:proofErr w:type="spellStart"/>
      <w:r w:rsidRPr="009C443A">
        <w:rPr>
          <w:snapToGrid w:val="0"/>
        </w:rPr>
        <w:t>Boekhout</w:t>
      </w:r>
      <w:proofErr w:type="spellEnd"/>
      <w:r w:rsidRPr="009C443A">
        <w:rPr>
          <w:snapToGrid w:val="0"/>
        </w:rPr>
        <w:t>. 2010. "Deforestation crimes and conflicts in the Amazon." Critical Criminology 18, 4: 263-277.</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Walters, Reece. 2011. Eco crime and genetically modified food. </w:t>
      </w:r>
      <w:proofErr w:type="spellStart"/>
      <w:proofErr w:type="gramStart"/>
      <w:r w:rsidRPr="009C443A">
        <w:rPr>
          <w:snapToGrid w:val="0"/>
        </w:rPr>
        <w:t>Routledge</w:t>
      </w:r>
      <w:proofErr w:type="spellEnd"/>
      <w:r w:rsidRPr="009C443A">
        <w:rPr>
          <w:snapToGrid w:val="0"/>
        </w:rPr>
        <w:t>.</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Walters, Reece. 2007. "Food crime, regulation and the biotech harvest." European Journal of Criminology 4, 2: 217-235.</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gramStart"/>
      <w:r w:rsidRPr="009C443A">
        <w:rPr>
          <w:snapToGrid w:val="0"/>
        </w:rPr>
        <w:t xml:space="preserve">Walters, Reece, and Diane Solomon </w:t>
      </w:r>
      <w:proofErr w:type="spellStart"/>
      <w:r w:rsidRPr="009C443A">
        <w:rPr>
          <w:snapToGrid w:val="0"/>
        </w:rPr>
        <w:t>Westerhuis</w:t>
      </w:r>
      <w:proofErr w:type="spellEnd"/>
      <w:r w:rsidRPr="009C443A">
        <w:rPr>
          <w:snapToGrid w:val="0"/>
        </w:rPr>
        <w:t>.</w:t>
      </w:r>
      <w:proofErr w:type="gramEnd"/>
      <w:r w:rsidRPr="009C443A">
        <w:rPr>
          <w:snapToGrid w:val="0"/>
        </w:rPr>
        <w:t xml:space="preserve"> 2013. "Green crime and the role of environmental courts." Crime, Law and Social </w:t>
      </w:r>
      <w:proofErr w:type="gramStart"/>
      <w:r w:rsidRPr="009C443A">
        <w:rPr>
          <w:snapToGrid w:val="0"/>
        </w:rPr>
        <w:t xml:space="preserve">Change  </w:t>
      </w:r>
      <w:proofErr w:type="spellStart"/>
      <w:r w:rsidRPr="009C443A">
        <w:rPr>
          <w:snapToGrid w:val="0"/>
        </w:rPr>
        <w:t>xx,x</w:t>
      </w:r>
      <w:proofErr w:type="spellEnd"/>
      <w:proofErr w:type="gramEnd"/>
      <w:r w:rsidRPr="009C443A">
        <w:rPr>
          <w:snapToGrid w:val="0"/>
        </w:rPr>
        <w:t>: : 1-12.</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roofErr w:type="spellStart"/>
      <w:r w:rsidRPr="009C443A">
        <w:rPr>
          <w:snapToGrid w:val="0"/>
        </w:rPr>
        <w:t>Wellsmith</w:t>
      </w:r>
      <w:proofErr w:type="spellEnd"/>
      <w:r w:rsidRPr="009C443A">
        <w:rPr>
          <w:snapToGrid w:val="0"/>
        </w:rPr>
        <w:t>, Melanie. 2011. "Wildlife crime: The problems of enforcement." European Journal on Criminal Policy and Research 17, 2: 125-148.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lastRenderedPageBreak/>
        <w:t xml:space="preserve">White, Rob, ed. 2013. Global environmental harm: criminological perspectives. </w:t>
      </w:r>
      <w:proofErr w:type="spellStart"/>
      <w:proofErr w:type="gramStart"/>
      <w:r w:rsidRPr="009C443A">
        <w:rPr>
          <w:snapToGrid w:val="0"/>
        </w:rPr>
        <w:t>Willan</w:t>
      </w:r>
      <w:proofErr w:type="spellEnd"/>
      <w:r w:rsidRPr="009C443A">
        <w:rPr>
          <w:snapToGrid w:val="0"/>
        </w:rPr>
        <w:t>.</w:t>
      </w:r>
      <w:proofErr w:type="gramEnd"/>
      <w:r w:rsidRPr="009C443A">
        <w:rPr>
          <w:snapToGrid w:val="0"/>
        </w:rPr>
        <w:t xml:space="preserve">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White, Rob, ed. 2012. </w:t>
      </w:r>
      <w:proofErr w:type="gramStart"/>
      <w:r w:rsidRPr="009C443A">
        <w:rPr>
          <w:snapToGrid w:val="0"/>
        </w:rPr>
        <w:t>Climate change from a criminological perspective.</w:t>
      </w:r>
      <w:proofErr w:type="gramEnd"/>
      <w:r w:rsidRPr="009C443A">
        <w:rPr>
          <w:snapToGrid w:val="0"/>
        </w:rPr>
        <w:t xml:space="preserve"> </w:t>
      </w:r>
      <w:proofErr w:type="gramStart"/>
      <w:r w:rsidRPr="009C443A">
        <w:rPr>
          <w:snapToGrid w:val="0"/>
        </w:rPr>
        <w:t>Springer.</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White, Rob. 2011. Transnational environmental crime: Toward an eco-global criminology. </w:t>
      </w:r>
      <w:proofErr w:type="spellStart"/>
      <w:proofErr w:type="gramStart"/>
      <w:r w:rsidRPr="009C443A">
        <w:rPr>
          <w:snapToGrid w:val="0"/>
        </w:rPr>
        <w:t>Willan</w:t>
      </w:r>
      <w:proofErr w:type="spellEnd"/>
      <w:r w:rsidRPr="009C443A">
        <w:rPr>
          <w:snapToGrid w:val="0"/>
        </w:rPr>
        <w:t>.</w:t>
      </w:r>
      <w:proofErr w:type="gramEnd"/>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White, Rob. 2009. Environmental Crime: A Reader. </w:t>
      </w:r>
      <w:proofErr w:type="spellStart"/>
      <w:proofErr w:type="gramStart"/>
      <w:r w:rsidRPr="009C443A">
        <w:rPr>
          <w:snapToGrid w:val="0"/>
        </w:rPr>
        <w:t>WIllan</w:t>
      </w:r>
      <w:proofErr w:type="spellEnd"/>
      <w:r w:rsidRPr="009C443A">
        <w:rPr>
          <w:snapToGrid w:val="0"/>
        </w:rPr>
        <w:t>.</w:t>
      </w:r>
      <w:proofErr w:type="gramEnd"/>
      <w:r w:rsidRPr="009C443A">
        <w:rPr>
          <w:snapToGrid w:val="0"/>
        </w:rPr>
        <w:t xml:space="preserve"> </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 xml:space="preserve">White, Rob. 2009. "Researching Transnational Environmental Harm: Toward </w:t>
      </w:r>
      <w:proofErr w:type="gramStart"/>
      <w:r w:rsidRPr="009C443A">
        <w:rPr>
          <w:snapToGrid w:val="0"/>
        </w:rPr>
        <w:t>an Eco</w:t>
      </w:r>
      <w:proofErr w:type="gramEnd"/>
      <w:r w:rsidRPr="009C443A">
        <w:rPr>
          <w:rFonts w:ascii="Cambria Math" w:hAnsi="Cambria Math" w:cs="Cambria Math"/>
          <w:snapToGrid w:val="0"/>
        </w:rPr>
        <w:t>‐</w:t>
      </w:r>
      <w:r w:rsidRPr="009C443A">
        <w:rPr>
          <w:snapToGrid w:val="0"/>
        </w:rPr>
        <w:t>Global Criminology." International journal of comparative and applied criminal justice 33, 2: 229-248.</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White, Rob. 2009. "Environmental victims and resistance to state crime through transnational activism." Social Justice 36, 3: 46-60.</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White, Rob. 2008. "Depleted uranium, state crime and the politics of knowing." Theoretical Criminology 12, 1: 31-54.</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White, Rob. 2008. "Toxic cities: globalizing the problem of waste." Social Justice 35, 3: 107-119.</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Wyatt, Tanya. 2011. The illegal trade of raptors in the Russian Federation.  Contemporary Justice Review 14, 2: 103-123.</w:t>
      </w:r>
    </w:p>
    <w:p w:rsidR="009C443A" w:rsidRP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9C443A">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r w:rsidRPr="009C443A">
        <w:rPr>
          <w:snapToGrid w:val="0"/>
        </w:rPr>
        <w:t>Yates, Roger. 2011. "Criminalizing protests about animal abuse. Recent Irish experience in global context." Crime, law and social change 55, 5: 469-482</w:t>
      </w: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p w:rsidR="009C443A" w:rsidRDefault="009C443A" w:rsidP="00E74CC8">
      <w:pPr>
        <w:widowControl w:val="0"/>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5040"/>
          <w:tab w:val="left" w:pos="5220"/>
        </w:tabs>
        <w:outlineLvl w:val="0"/>
        <w:rPr>
          <w:snapToGrid w:val="0"/>
        </w:rPr>
      </w:pPr>
    </w:p>
    <w:sectPr w:rsidR="009C443A" w:rsidSect="000D5C92">
      <w:pgSz w:w="12240" w:h="15840" w:code="1"/>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ahoma"/>
    <w:panose1 w:val="00000000000000000000"/>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384"/>
    <w:multiLevelType w:val="hybridMultilevel"/>
    <w:tmpl w:val="C14E49D6"/>
    <w:lvl w:ilvl="0" w:tplc="9CA6F306">
      <w:start w:val="16"/>
      <w:numFmt w:val="decimal"/>
      <w:lvlText w:val="%1"/>
      <w:lvlJc w:val="left"/>
      <w:pPr>
        <w:tabs>
          <w:tab w:val="num" w:pos="1440"/>
        </w:tabs>
        <w:ind w:left="1440" w:hanging="720"/>
      </w:pPr>
      <w:rPr>
        <w:rFonts w:cs="Times New Roman" w:hint="default"/>
        <w:b w:val="0"/>
      </w:rPr>
    </w:lvl>
    <w:lvl w:ilvl="1" w:tplc="264EF064">
      <w:start w:val="1"/>
      <w:numFmt w:val="decimalZero"/>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73E7866"/>
    <w:multiLevelType w:val="hybridMultilevel"/>
    <w:tmpl w:val="478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5416"/>
    <w:multiLevelType w:val="hybridMultilevel"/>
    <w:tmpl w:val="9C68B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510D0D"/>
    <w:multiLevelType w:val="hybridMultilevel"/>
    <w:tmpl w:val="847049C6"/>
    <w:lvl w:ilvl="0" w:tplc="1486D27C">
      <w:start w:val="2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60378CF"/>
    <w:multiLevelType w:val="singleLevel"/>
    <w:tmpl w:val="CC2C6E1C"/>
    <w:lvl w:ilvl="0">
      <w:start w:val="1"/>
      <w:numFmt w:val="upperRoman"/>
      <w:lvlText w:val="%1."/>
      <w:lvlJc w:val="left"/>
      <w:pPr>
        <w:tabs>
          <w:tab w:val="num" w:pos="720"/>
        </w:tabs>
        <w:ind w:left="720" w:hanging="720"/>
      </w:pPr>
      <w:rPr>
        <w:rFonts w:cs="Times New Roman" w:hint="default"/>
      </w:rPr>
    </w:lvl>
  </w:abstractNum>
  <w:abstractNum w:abstractNumId="5">
    <w:nsid w:val="271A4E33"/>
    <w:multiLevelType w:val="singleLevel"/>
    <w:tmpl w:val="A35EB65A"/>
    <w:lvl w:ilvl="0">
      <w:start w:val="1"/>
      <w:numFmt w:val="upperLetter"/>
      <w:lvlText w:val="(%1)"/>
      <w:lvlJc w:val="left"/>
      <w:pPr>
        <w:tabs>
          <w:tab w:val="num" w:pos="1890"/>
        </w:tabs>
        <w:ind w:left="1890" w:hanging="450"/>
      </w:pPr>
      <w:rPr>
        <w:rFonts w:cs="Times New Roman" w:hint="default"/>
      </w:rPr>
    </w:lvl>
  </w:abstractNum>
  <w:abstractNum w:abstractNumId="6">
    <w:nsid w:val="2C1858D4"/>
    <w:multiLevelType w:val="hybridMultilevel"/>
    <w:tmpl w:val="A5844882"/>
    <w:lvl w:ilvl="0" w:tplc="7C4A95A0">
      <w:start w:val="18"/>
      <w:numFmt w:val="decimal"/>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CFB5CAD"/>
    <w:multiLevelType w:val="singleLevel"/>
    <w:tmpl w:val="421EF9E8"/>
    <w:lvl w:ilvl="0">
      <w:start w:val="7"/>
      <w:numFmt w:val="upperLetter"/>
      <w:lvlText w:val="%1)"/>
      <w:lvlJc w:val="left"/>
      <w:pPr>
        <w:tabs>
          <w:tab w:val="num" w:pos="360"/>
        </w:tabs>
        <w:ind w:left="360" w:hanging="360"/>
      </w:pPr>
      <w:rPr>
        <w:rFonts w:cs="Times New Roman" w:hint="default"/>
      </w:rPr>
    </w:lvl>
  </w:abstractNum>
  <w:abstractNum w:abstractNumId="8">
    <w:nsid w:val="2E6D498C"/>
    <w:multiLevelType w:val="hybridMultilevel"/>
    <w:tmpl w:val="7FEE4016"/>
    <w:lvl w:ilvl="0" w:tplc="339C34F8">
      <w:start w:val="2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9EC4CF5"/>
    <w:multiLevelType w:val="hybridMultilevel"/>
    <w:tmpl w:val="961C3FE4"/>
    <w:lvl w:ilvl="0" w:tplc="86609D28">
      <w:start w:val="2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29D4309"/>
    <w:multiLevelType w:val="singleLevel"/>
    <w:tmpl w:val="E698D182"/>
    <w:lvl w:ilvl="0">
      <w:start w:val="1"/>
      <w:numFmt w:val="lowerLetter"/>
      <w:lvlText w:val="(%1)"/>
      <w:lvlJc w:val="left"/>
      <w:pPr>
        <w:tabs>
          <w:tab w:val="num" w:pos="1440"/>
        </w:tabs>
        <w:ind w:left="1440" w:hanging="360"/>
      </w:pPr>
      <w:rPr>
        <w:rFonts w:cs="Times New Roman" w:hint="default"/>
      </w:rPr>
    </w:lvl>
  </w:abstractNum>
  <w:abstractNum w:abstractNumId="11">
    <w:nsid w:val="43F676B1"/>
    <w:multiLevelType w:val="hybridMultilevel"/>
    <w:tmpl w:val="2536F91A"/>
    <w:lvl w:ilvl="0" w:tplc="83E08D9C">
      <w:start w:val="2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D0031FB"/>
    <w:multiLevelType w:val="hybridMultilevel"/>
    <w:tmpl w:val="497A528A"/>
    <w:lvl w:ilvl="0" w:tplc="929E387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FC91076"/>
    <w:multiLevelType w:val="hybridMultilevel"/>
    <w:tmpl w:val="27625100"/>
    <w:lvl w:ilvl="0" w:tplc="7E2E302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0B2E55"/>
    <w:multiLevelType w:val="hybridMultilevel"/>
    <w:tmpl w:val="5AB4272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C81DA1"/>
    <w:multiLevelType w:val="singleLevel"/>
    <w:tmpl w:val="CC068B20"/>
    <w:lvl w:ilvl="0">
      <w:start w:val="1"/>
      <w:numFmt w:val="upperLetter"/>
      <w:lvlText w:val="(%1)"/>
      <w:lvlJc w:val="left"/>
      <w:pPr>
        <w:tabs>
          <w:tab w:val="num" w:pos="1815"/>
        </w:tabs>
        <w:ind w:left="1815" w:hanging="375"/>
      </w:pPr>
      <w:rPr>
        <w:rFonts w:cs="Times New Roman" w:hint="default"/>
      </w:rPr>
    </w:lvl>
  </w:abstractNum>
  <w:abstractNum w:abstractNumId="16">
    <w:nsid w:val="57436496"/>
    <w:multiLevelType w:val="hybridMultilevel"/>
    <w:tmpl w:val="8FB0D56A"/>
    <w:lvl w:ilvl="0" w:tplc="EC484F02">
      <w:start w:val="30"/>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B396F4C"/>
    <w:multiLevelType w:val="hybridMultilevel"/>
    <w:tmpl w:val="E9AC07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FD40926"/>
    <w:multiLevelType w:val="singleLevel"/>
    <w:tmpl w:val="6762B932"/>
    <w:lvl w:ilvl="0">
      <w:start w:val="2"/>
      <w:numFmt w:val="decimal"/>
      <w:lvlText w:val="%1."/>
      <w:lvlJc w:val="left"/>
      <w:pPr>
        <w:tabs>
          <w:tab w:val="num" w:pos="1080"/>
        </w:tabs>
        <w:ind w:left="1080" w:hanging="360"/>
      </w:pPr>
      <w:rPr>
        <w:rFonts w:cs="Times New Roman" w:hint="default"/>
      </w:rPr>
    </w:lvl>
  </w:abstractNum>
  <w:abstractNum w:abstractNumId="19">
    <w:nsid w:val="638C4037"/>
    <w:multiLevelType w:val="multilevel"/>
    <w:tmpl w:val="279C0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4572DBD"/>
    <w:multiLevelType w:val="multilevel"/>
    <w:tmpl w:val="DB8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27A3D"/>
    <w:multiLevelType w:val="hybridMultilevel"/>
    <w:tmpl w:val="EEDCEDF2"/>
    <w:lvl w:ilvl="0" w:tplc="9692F5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7404612"/>
    <w:multiLevelType w:val="hybridMultilevel"/>
    <w:tmpl w:val="09D45D84"/>
    <w:lvl w:ilvl="0" w:tplc="C70CAD12">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DE66669"/>
    <w:multiLevelType w:val="hybridMultilevel"/>
    <w:tmpl w:val="48EA9696"/>
    <w:lvl w:ilvl="0" w:tplc="37808A40">
      <w:start w:val="2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EB907AE"/>
    <w:multiLevelType w:val="singleLevel"/>
    <w:tmpl w:val="AE9AF9B4"/>
    <w:lvl w:ilvl="0">
      <w:start w:val="1"/>
      <w:numFmt w:val="upperLetter"/>
      <w:lvlText w:val="(%1)"/>
      <w:lvlJc w:val="left"/>
      <w:pPr>
        <w:tabs>
          <w:tab w:val="num" w:pos="1875"/>
        </w:tabs>
        <w:ind w:left="1875" w:hanging="435"/>
      </w:pPr>
      <w:rPr>
        <w:rFonts w:cs="Times New Roman" w:hint="default"/>
      </w:rPr>
    </w:lvl>
  </w:abstractNum>
  <w:abstractNum w:abstractNumId="25">
    <w:nsid w:val="6ED776D9"/>
    <w:multiLevelType w:val="singleLevel"/>
    <w:tmpl w:val="48705A46"/>
    <w:lvl w:ilvl="0">
      <w:start w:val="1"/>
      <w:numFmt w:val="upperLetter"/>
      <w:lvlText w:val="(%1)"/>
      <w:lvlJc w:val="left"/>
      <w:pPr>
        <w:tabs>
          <w:tab w:val="num" w:pos="1830"/>
        </w:tabs>
        <w:ind w:left="1830" w:hanging="390"/>
      </w:pPr>
      <w:rPr>
        <w:rFonts w:cs="Times New Roman" w:hint="default"/>
      </w:rPr>
    </w:lvl>
  </w:abstractNum>
  <w:abstractNum w:abstractNumId="26">
    <w:nsid w:val="7AB96B1A"/>
    <w:multiLevelType w:val="hybridMultilevel"/>
    <w:tmpl w:val="D1E27D2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B083438"/>
    <w:multiLevelType w:val="hybridMultilevel"/>
    <w:tmpl w:val="7FF20612"/>
    <w:lvl w:ilvl="0" w:tplc="3BFA51B8">
      <w:start w:val="2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20"/>
  </w:num>
  <w:num w:numId="3">
    <w:abstractNumId w:val="26"/>
  </w:num>
  <w:num w:numId="4">
    <w:abstractNumId w:val="17"/>
  </w:num>
  <w:num w:numId="5">
    <w:abstractNumId w:val="14"/>
  </w:num>
  <w:num w:numId="6">
    <w:abstractNumId w:val="1"/>
  </w:num>
  <w:num w:numId="7">
    <w:abstractNumId w:val="2"/>
  </w:num>
  <w:num w:numId="8">
    <w:abstractNumId w:val="15"/>
  </w:num>
  <w:num w:numId="9">
    <w:abstractNumId w:val="18"/>
  </w:num>
  <w:num w:numId="10">
    <w:abstractNumId w:val="5"/>
  </w:num>
  <w:num w:numId="11">
    <w:abstractNumId w:val="25"/>
  </w:num>
  <w:num w:numId="12">
    <w:abstractNumId w:val="10"/>
  </w:num>
  <w:num w:numId="13">
    <w:abstractNumId w:val="24"/>
  </w:num>
  <w:num w:numId="14">
    <w:abstractNumId w:val="4"/>
  </w:num>
  <w:num w:numId="15">
    <w:abstractNumId w:val="7"/>
  </w:num>
  <w:num w:numId="16">
    <w:abstractNumId w:val="21"/>
  </w:num>
  <w:num w:numId="17">
    <w:abstractNumId w:val="12"/>
  </w:num>
  <w:num w:numId="18">
    <w:abstractNumId w:val="13"/>
  </w:num>
  <w:num w:numId="19">
    <w:abstractNumId w:val="23"/>
  </w:num>
  <w:num w:numId="20">
    <w:abstractNumId w:val="11"/>
  </w:num>
  <w:num w:numId="21">
    <w:abstractNumId w:val="16"/>
  </w:num>
  <w:num w:numId="22">
    <w:abstractNumId w:val="6"/>
  </w:num>
  <w:num w:numId="23">
    <w:abstractNumId w:val="9"/>
  </w:num>
  <w:num w:numId="24">
    <w:abstractNumId w:val="8"/>
  </w:num>
  <w:num w:numId="25">
    <w:abstractNumId w:val="0"/>
  </w:num>
  <w:num w:numId="26">
    <w:abstractNumId w:val="22"/>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B4"/>
    <w:rsid w:val="00000079"/>
    <w:rsid w:val="00005AE0"/>
    <w:rsid w:val="00006F82"/>
    <w:rsid w:val="00025FEF"/>
    <w:rsid w:val="00036242"/>
    <w:rsid w:val="00054E16"/>
    <w:rsid w:val="0005540F"/>
    <w:rsid w:val="00077F01"/>
    <w:rsid w:val="0008727B"/>
    <w:rsid w:val="000C4B34"/>
    <w:rsid w:val="000D0183"/>
    <w:rsid w:val="000D3199"/>
    <w:rsid w:val="000D38E6"/>
    <w:rsid w:val="000D5C92"/>
    <w:rsid w:val="000D7D74"/>
    <w:rsid w:val="00114EDC"/>
    <w:rsid w:val="00116932"/>
    <w:rsid w:val="00122365"/>
    <w:rsid w:val="00171C52"/>
    <w:rsid w:val="00172C9E"/>
    <w:rsid w:val="001F1F68"/>
    <w:rsid w:val="00205FBE"/>
    <w:rsid w:val="00207786"/>
    <w:rsid w:val="002155EC"/>
    <w:rsid w:val="00217109"/>
    <w:rsid w:val="00223A14"/>
    <w:rsid w:val="0023522A"/>
    <w:rsid w:val="00240018"/>
    <w:rsid w:val="0026525B"/>
    <w:rsid w:val="002A2F1C"/>
    <w:rsid w:val="002D0EC5"/>
    <w:rsid w:val="002F49B7"/>
    <w:rsid w:val="002F64B6"/>
    <w:rsid w:val="002F79B1"/>
    <w:rsid w:val="00301CC7"/>
    <w:rsid w:val="00303AFC"/>
    <w:rsid w:val="00347CA3"/>
    <w:rsid w:val="00351D21"/>
    <w:rsid w:val="0037324A"/>
    <w:rsid w:val="0038179A"/>
    <w:rsid w:val="003A03D3"/>
    <w:rsid w:val="003B2BD6"/>
    <w:rsid w:val="003E3F17"/>
    <w:rsid w:val="004065CB"/>
    <w:rsid w:val="00417866"/>
    <w:rsid w:val="004306E2"/>
    <w:rsid w:val="00456E17"/>
    <w:rsid w:val="0045754C"/>
    <w:rsid w:val="00481739"/>
    <w:rsid w:val="004925E0"/>
    <w:rsid w:val="004A1E7C"/>
    <w:rsid w:val="004E16F8"/>
    <w:rsid w:val="0052704E"/>
    <w:rsid w:val="00564010"/>
    <w:rsid w:val="00576152"/>
    <w:rsid w:val="005A0EBE"/>
    <w:rsid w:val="005E6D60"/>
    <w:rsid w:val="005F038B"/>
    <w:rsid w:val="00601C7A"/>
    <w:rsid w:val="00610CFC"/>
    <w:rsid w:val="00625002"/>
    <w:rsid w:val="0064086F"/>
    <w:rsid w:val="006553AF"/>
    <w:rsid w:val="006627BA"/>
    <w:rsid w:val="00662F20"/>
    <w:rsid w:val="0066587B"/>
    <w:rsid w:val="00686181"/>
    <w:rsid w:val="00693280"/>
    <w:rsid w:val="006A4FA7"/>
    <w:rsid w:val="006B3862"/>
    <w:rsid w:val="007232AD"/>
    <w:rsid w:val="007524EE"/>
    <w:rsid w:val="007820CF"/>
    <w:rsid w:val="007B30D8"/>
    <w:rsid w:val="007F4B7B"/>
    <w:rsid w:val="00816264"/>
    <w:rsid w:val="00834278"/>
    <w:rsid w:val="00843938"/>
    <w:rsid w:val="008458C2"/>
    <w:rsid w:val="00887E1A"/>
    <w:rsid w:val="008C7EB0"/>
    <w:rsid w:val="008D0A92"/>
    <w:rsid w:val="008D5FB1"/>
    <w:rsid w:val="008D7D26"/>
    <w:rsid w:val="0091503C"/>
    <w:rsid w:val="00922DFA"/>
    <w:rsid w:val="00923961"/>
    <w:rsid w:val="009362FE"/>
    <w:rsid w:val="0095033A"/>
    <w:rsid w:val="00964C90"/>
    <w:rsid w:val="0097203C"/>
    <w:rsid w:val="00973792"/>
    <w:rsid w:val="00975EB3"/>
    <w:rsid w:val="009C443A"/>
    <w:rsid w:val="009C7964"/>
    <w:rsid w:val="009D3C5F"/>
    <w:rsid w:val="009D4779"/>
    <w:rsid w:val="009F12C9"/>
    <w:rsid w:val="009F7581"/>
    <w:rsid w:val="009F7A1D"/>
    <w:rsid w:val="00A03EEE"/>
    <w:rsid w:val="00A53282"/>
    <w:rsid w:val="00A65851"/>
    <w:rsid w:val="00A9333E"/>
    <w:rsid w:val="00AA225D"/>
    <w:rsid w:val="00AB3B7F"/>
    <w:rsid w:val="00AC1EBE"/>
    <w:rsid w:val="00AC4B0C"/>
    <w:rsid w:val="00AD1BDD"/>
    <w:rsid w:val="00AD40DA"/>
    <w:rsid w:val="00AF1CEE"/>
    <w:rsid w:val="00B27D47"/>
    <w:rsid w:val="00B420A3"/>
    <w:rsid w:val="00B4734D"/>
    <w:rsid w:val="00B65279"/>
    <w:rsid w:val="00B906EE"/>
    <w:rsid w:val="00B94A02"/>
    <w:rsid w:val="00BA29C4"/>
    <w:rsid w:val="00BB3559"/>
    <w:rsid w:val="00BB55EE"/>
    <w:rsid w:val="00BD073D"/>
    <w:rsid w:val="00BD4D77"/>
    <w:rsid w:val="00BE05F8"/>
    <w:rsid w:val="00BF2ACB"/>
    <w:rsid w:val="00C27F53"/>
    <w:rsid w:val="00C81F2A"/>
    <w:rsid w:val="00C93A9B"/>
    <w:rsid w:val="00C979B4"/>
    <w:rsid w:val="00CB3D60"/>
    <w:rsid w:val="00CC52D3"/>
    <w:rsid w:val="00CD4F00"/>
    <w:rsid w:val="00CE02BF"/>
    <w:rsid w:val="00D13BBC"/>
    <w:rsid w:val="00D46895"/>
    <w:rsid w:val="00D65874"/>
    <w:rsid w:val="00D66808"/>
    <w:rsid w:val="00D7041A"/>
    <w:rsid w:val="00D85E54"/>
    <w:rsid w:val="00D94EB7"/>
    <w:rsid w:val="00DA3CC2"/>
    <w:rsid w:val="00DA7D5C"/>
    <w:rsid w:val="00DC506F"/>
    <w:rsid w:val="00DD2B0E"/>
    <w:rsid w:val="00DE6A19"/>
    <w:rsid w:val="00E13845"/>
    <w:rsid w:val="00E54D0A"/>
    <w:rsid w:val="00E74CC8"/>
    <w:rsid w:val="00EA4018"/>
    <w:rsid w:val="00EC418E"/>
    <w:rsid w:val="00EC4884"/>
    <w:rsid w:val="00ED34F5"/>
    <w:rsid w:val="00EE2A88"/>
    <w:rsid w:val="00F10C9A"/>
    <w:rsid w:val="00F15EFA"/>
    <w:rsid w:val="00F412CB"/>
    <w:rsid w:val="00F46A7E"/>
    <w:rsid w:val="00F60E04"/>
    <w:rsid w:val="00FB5261"/>
    <w:rsid w:val="00FD3B6C"/>
    <w:rsid w:val="00FE310A"/>
    <w:rsid w:val="00FE42CA"/>
    <w:rsid w:val="00F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B4"/>
    <w:rPr>
      <w:sz w:val="24"/>
      <w:szCs w:val="24"/>
    </w:rPr>
  </w:style>
  <w:style w:type="paragraph" w:styleId="Heading1">
    <w:name w:val="heading 1"/>
    <w:basedOn w:val="Normal"/>
    <w:next w:val="Normal"/>
    <w:link w:val="Heading1Char"/>
    <w:uiPriority w:val="99"/>
    <w:qFormat/>
    <w:rsid w:val="00C979B4"/>
    <w:pPr>
      <w:keepNext/>
      <w:outlineLvl w:val="0"/>
    </w:pPr>
    <w:rPr>
      <w:b/>
      <w:bCs/>
    </w:rPr>
  </w:style>
  <w:style w:type="paragraph" w:styleId="Heading2">
    <w:name w:val="heading 2"/>
    <w:basedOn w:val="Normal"/>
    <w:next w:val="Normal"/>
    <w:link w:val="Heading2Char"/>
    <w:uiPriority w:val="99"/>
    <w:qFormat/>
    <w:rsid w:val="00C979B4"/>
    <w:pPr>
      <w:keepNext/>
      <w:jc w:val="center"/>
      <w:outlineLvl w:val="1"/>
    </w:pPr>
    <w:rPr>
      <w:b/>
      <w:bCs/>
    </w:rPr>
  </w:style>
  <w:style w:type="paragraph" w:styleId="Heading3">
    <w:name w:val="heading 3"/>
    <w:basedOn w:val="Normal"/>
    <w:next w:val="Normal"/>
    <w:link w:val="Heading3Char"/>
    <w:uiPriority w:val="99"/>
    <w:qFormat/>
    <w:rsid w:val="00172C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979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Title">
    <w:name w:val="Title"/>
    <w:basedOn w:val="Normal"/>
    <w:link w:val="TitleChar"/>
    <w:uiPriority w:val="99"/>
    <w:qFormat/>
    <w:rsid w:val="00C979B4"/>
    <w:pPr>
      <w:jc w:val="center"/>
    </w:pPr>
    <w:rPr>
      <w:b/>
      <w:bCs/>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C979B4"/>
    <w:pPr>
      <w:ind w:left="720" w:hanging="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C979B4"/>
    <w:rPr>
      <w:rFonts w:cs="Times New Roman"/>
      <w:b/>
      <w:bCs/>
    </w:rPr>
  </w:style>
  <w:style w:type="paragraph" w:styleId="NormalWeb">
    <w:name w:val="Normal (Web)"/>
    <w:basedOn w:val="Normal"/>
    <w:uiPriority w:val="99"/>
    <w:rsid w:val="00C979B4"/>
    <w:pPr>
      <w:spacing w:before="100" w:beforeAutospacing="1" w:after="100" w:afterAutospacing="1"/>
    </w:pPr>
  </w:style>
  <w:style w:type="character" w:styleId="Hyperlink">
    <w:name w:val="Hyperlink"/>
    <w:basedOn w:val="DefaultParagraphFont"/>
    <w:uiPriority w:val="99"/>
    <w:rsid w:val="00C979B4"/>
    <w:rPr>
      <w:rFonts w:cs="Times New Roman"/>
      <w:color w:val="0000FF"/>
      <w:u w:val="single"/>
    </w:rPr>
  </w:style>
  <w:style w:type="paragraph" w:styleId="ListParagraph">
    <w:name w:val="List Paragraph"/>
    <w:basedOn w:val="Normal"/>
    <w:uiPriority w:val="99"/>
    <w:qFormat/>
    <w:rsid w:val="008D0A92"/>
    <w:pPr>
      <w:spacing w:after="200"/>
      <w:ind w:left="720"/>
      <w:contextualSpacing/>
    </w:pPr>
    <w:rPr>
      <w:rFonts w:ascii="Calibri" w:hAnsi="Calibri"/>
      <w:sz w:val="22"/>
      <w:szCs w:val="22"/>
    </w:rPr>
  </w:style>
  <w:style w:type="character" w:styleId="FollowedHyperlink">
    <w:name w:val="FollowedHyperlink"/>
    <w:basedOn w:val="DefaultParagraphFont"/>
    <w:uiPriority w:val="99"/>
    <w:rsid w:val="00F10C9A"/>
    <w:rPr>
      <w:rFonts w:cs="Times New Roman"/>
      <w:color w:val="800080"/>
      <w:u w:val="single"/>
    </w:rPr>
  </w:style>
  <w:style w:type="paragraph" w:styleId="BodyText">
    <w:name w:val="Body Text"/>
    <w:basedOn w:val="Normal"/>
    <w:link w:val="BodyTextChar"/>
    <w:uiPriority w:val="99"/>
    <w:rsid w:val="00172C9E"/>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rsid w:val="000D38E6"/>
    <w:rPr>
      <w:rFonts w:ascii="Tahoma" w:hAnsi="Tahoma" w:cs="Tahoma"/>
      <w:sz w:val="16"/>
      <w:szCs w:val="16"/>
    </w:rPr>
  </w:style>
  <w:style w:type="character" w:customStyle="1" w:styleId="BalloonTextChar">
    <w:name w:val="Balloon Text Char"/>
    <w:basedOn w:val="DefaultParagraphFont"/>
    <w:link w:val="BalloonText"/>
    <w:uiPriority w:val="99"/>
    <w:locked/>
    <w:rsid w:val="000D3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B4"/>
    <w:rPr>
      <w:sz w:val="24"/>
      <w:szCs w:val="24"/>
    </w:rPr>
  </w:style>
  <w:style w:type="paragraph" w:styleId="Heading1">
    <w:name w:val="heading 1"/>
    <w:basedOn w:val="Normal"/>
    <w:next w:val="Normal"/>
    <w:link w:val="Heading1Char"/>
    <w:uiPriority w:val="99"/>
    <w:qFormat/>
    <w:rsid w:val="00C979B4"/>
    <w:pPr>
      <w:keepNext/>
      <w:outlineLvl w:val="0"/>
    </w:pPr>
    <w:rPr>
      <w:b/>
      <w:bCs/>
    </w:rPr>
  </w:style>
  <w:style w:type="paragraph" w:styleId="Heading2">
    <w:name w:val="heading 2"/>
    <w:basedOn w:val="Normal"/>
    <w:next w:val="Normal"/>
    <w:link w:val="Heading2Char"/>
    <w:uiPriority w:val="99"/>
    <w:qFormat/>
    <w:rsid w:val="00C979B4"/>
    <w:pPr>
      <w:keepNext/>
      <w:jc w:val="center"/>
      <w:outlineLvl w:val="1"/>
    </w:pPr>
    <w:rPr>
      <w:b/>
      <w:bCs/>
    </w:rPr>
  </w:style>
  <w:style w:type="paragraph" w:styleId="Heading3">
    <w:name w:val="heading 3"/>
    <w:basedOn w:val="Normal"/>
    <w:next w:val="Normal"/>
    <w:link w:val="Heading3Char"/>
    <w:uiPriority w:val="99"/>
    <w:qFormat/>
    <w:rsid w:val="00172C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979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Title">
    <w:name w:val="Title"/>
    <w:basedOn w:val="Normal"/>
    <w:link w:val="TitleChar"/>
    <w:uiPriority w:val="99"/>
    <w:qFormat/>
    <w:rsid w:val="00C979B4"/>
    <w:pPr>
      <w:jc w:val="center"/>
    </w:pPr>
    <w:rPr>
      <w:b/>
      <w:bCs/>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C979B4"/>
    <w:pPr>
      <w:ind w:left="720" w:hanging="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C979B4"/>
    <w:rPr>
      <w:rFonts w:cs="Times New Roman"/>
      <w:b/>
      <w:bCs/>
    </w:rPr>
  </w:style>
  <w:style w:type="paragraph" w:styleId="NormalWeb">
    <w:name w:val="Normal (Web)"/>
    <w:basedOn w:val="Normal"/>
    <w:uiPriority w:val="99"/>
    <w:rsid w:val="00C979B4"/>
    <w:pPr>
      <w:spacing w:before="100" w:beforeAutospacing="1" w:after="100" w:afterAutospacing="1"/>
    </w:pPr>
  </w:style>
  <w:style w:type="character" w:styleId="Hyperlink">
    <w:name w:val="Hyperlink"/>
    <w:basedOn w:val="DefaultParagraphFont"/>
    <w:uiPriority w:val="99"/>
    <w:rsid w:val="00C979B4"/>
    <w:rPr>
      <w:rFonts w:cs="Times New Roman"/>
      <w:color w:val="0000FF"/>
      <w:u w:val="single"/>
    </w:rPr>
  </w:style>
  <w:style w:type="paragraph" w:styleId="ListParagraph">
    <w:name w:val="List Paragraph"/>
    <w:basedOn w:val="Normal"/>
    <w:uiPriority w:val="99"/>
    <w:qFormat/>
    <w:rsid w:val="008D0A92"/>
    <w:pPr>
      <w:spacing w:after="200"/>
      <w:ind w:left="720"/>
      <w:contextualSpacing/>
    </w:pPr>
    <w:rPr>
      <w:rFonts w:ascii="Calibri" w:hAnsi="Calibri"/>
      <w:sz w:val="22"/>
      <w:szCs w:val="22"/>
    </w:rPr>
  </w:style>
  <w:style w:type="character" w:styleId="FollowedHyperlink">
    <w:name w:val="FollowedHyperlink"/>
    <w:basedOn w:val="DefaultParagraphFont"/>
    <w:uiPriority w:val="99"/>
    <w:rsid w:val="00F10C9A"/>
    <w:rPr>
      <w:rFonts w:cs="Times New Roman"/>
      <w:color w:val="800080"/>
      <w:u w:val="single"/>
    </w:rPr>
  </w:style>
  <w:style w:type="paragraph" w:styleId="BodyText">
    <w:name w:val="Body Text"/>
    <w:basedOn w:val="Normal"/>
    <w:link w:val="BodyTextChar"/>
    <w:uiPriority w:val="99"/>
    <w:rsid w:val="00172C9E"/>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rsid w:val="000D38E6"/>
    <w:rPr>
      <w:rFonts w:ascii="Tahoma" w:hAnsi="Tahoma" w:cs="Tahoma"/>
      <w:sz w:val="16"/>
      <w:szCs w:val="16"/>
    </w:rPr>
  </w:style>
  <w:style w:type="character" w:customStyle="1" w:styleId="BalloonTextChar">
    <w:name w:val="Balloon Text Char"/>
    <w:basedOn w:val="DefaultParagraphFont"/>
    <w:link w:val="BalloonText"/>
    <w:uiPriority w:val="99"/>
    <w:locked/>
    <w:rsid w:val="000D3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2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s.usf.edu/students.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neralcounsel.usf.edu/policies-and-procedures/pdfs/policy-10-045.pdf" TargetMode="External"/><Relationship Id="rId12" Type="http://schemas.openxmlformats.org/officeDocument/2006/relationships/hyperlink" Target="http://monthlyreview.org/2010/03/01/what-every-environmentalist-needs-to-know-about-capit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gs.usf.edu/catalogs/0809/arcsagp.htm" TargetMode="External"/><Relationship Id="rId5" Type="http://schemas.openxmlformats.org/officeDocument/2006/relationships/webSettings" Target="webSettings.xml"/><Relationship Id="rId10" Type="http://schemas.openxmlformats.org/officeDocument/2006/relationships/hyperlink" Target="http://www.ugs.usf.edu/catalogs/0809/adadap.htm" TargetMode="External"/><Relationship Id="rId4" Type="http://schemas.openxmlformats.org/officeDocument/2006/relationships/settings" Target="settings.xml"/><Relationship Id="rId9" Type="http://schemas.openxmlformats.org/officeDocument/2006/relationships/hyperlink" Target="http://www.sds.usf.edu/faculty.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Psychology of Aging – GEY 4612, SEC 002 &amp; 004</vt:lpstr>
    </vt:vector>
  </TitlesOfParts>
  <Company>LapTop</Company>
  <LinksUpToDate>false</LinksUpToDate>
  <CharactersWithSpaces>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Aging – GEY 4612, SEC 002 &amp; 004</dc:title>
  <dc:creator>Tiff</dc:creator>
  <cp:lastModifiedBy>Mike Lynch</cp:lastModifiedBy>
  <cp:revision>2</cp:revision>
  <cp:lastPrinted>2008-08-05T13:36:00Z</cp:lastPrinted>
  <dcterms:created xsi:type="dcterms:W3CDTF">2013-07-29T16:11:00Z</dcterms:created>
  <dcterms:modified xsi:type="dcterms:W3CDTF">2013-07-29T16:11:00Z</dcterms:modified>
</cp:coreProperties>
</file>